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1A26C" w14:textId="77777777" w:rsidR="007833E2" w:rsidRPr="007833E2" w:rsidRDefault="007833E2" w:rsidP="007833E2">
      <w:pPr>
        <w:spacing w:line="331" w:lineRule="atLeast"/>
        <w:rPr>
          <w:rFonts w:ascii="aaux-next" w:hAnsi="aaux-next" w:cs="Helvetica"/>
          <w:color w:val="333333"/>
          <w:spacing w:val="5"/>
          <w:sz w:val="23"/>
          <w:szCs w:val="23"/>
        </w:rPr>
      </w:pPr>
      <w:r w:rsidRPr="007833E2">
        <w:rPr>
          <w:rFonts w:ascii="aaux-next" w:hAnsi="aaux-next" w:cs="Helvetica"/>
          <w:color w:val="333333"/>
          <w:spacing w:val="5"/>
          <w:sz w:val="23"/>
          <w:szCs w:val="23"/>
        </w:rPr>
        <w:t> </w:t>
      </w:r>
    </w:p>
    <w:p w14:paraId="5710F26F" w14:textId="77777777" w:rsidR="007833E2" w:rsidRPr="005E5E3A" w:rsidRDefault="007833E2" w:rsidP="00AD52A4">
      <w:pPr>
        <w:shd w:val="clear" w:color="auto" w:fill="FFFFFF"/>
        <w:spacing w:after="150"/>
        <w:jc w:val="center"/>
        <w:outlineLvl w:val="1"/>
        <w:rPr>
          <w:rFonts w:ascii="Arial" w:hAnsi="Arial" w:cs="Arial"/>
          <w:color w:val="333333"/>
          <w:spacing w:val="7"/>
          <w:sz w:val="36"/>
          <w:szCs w:val="36"/>
        </w:rPr>
      </w:pPr>
      <w:r w:rsidRPr="005E5E3A">
        <w:rPr>
          <w:rFonts w:ascii="Arial" w:hAnsi="Arial" w:cs="Arial"/>
          <w:b/>
          <w:bCs/>
          <w:color w:val="333333"/>
          <w:spacing w:val="7"/>
          <w:sz w:val="36"/>
          <w:szCs w:val="36"/>
        </w:rPr>
        <w:t>Learning Resources Overview</w:t>
      </w:r>
    </w:p>
    <w:p w14:paraId="40316710" w14:textId="77777777" w:rsidR="007833E2" w:rsidRPr="007833E2" w:rsidRDefault="007833E2" w:rsidP="00FD6FCE">
      <w:pPr>
        <w:shd w:val="clear" w:color="auto" w:fill="FFFFFF"/>
        <w:spacing w:after="150"/>
        <w:jc w:val="both"/>
        <w:rPr>
          <w:rFonts w:ascii="Arial" w:hAnsi="Arial" w:cs="Arial"/>
          <w:color w:val="333333"/>
          <w:spacing w:val="5"/>
        </w:rPr>
      </w:pPr>
      <w:r w:rsidRPr="00F25763">
        <w:rPr>
          <w:rFonts w:ascii="Arial" w:hAnsi="Arial" w:cs="Arial"/>
          <w:color w:val="333333"/>
          <w:spacing w:val="5"/>
        </w:rPr>
        <w:t>SunEd High</w:t>
      </w:r>
      <w:r w:rsidRPr="007833E2">
        <w:rPr>
          <w:rFonts w:ascii="Arial" w:hAnsi="Arial" w:cs="Arial"/>
          <w:color w:val="333333"/>
          <w:spacing w:val="5"/>
        </w:rPr>
        <w:t xml:space="preserve"> provides our enrolled </w:t>
      </w:r>
      <w:r w:rsidRPr="00F25763">
        <w:rPr>
          <w:rFonts w:ascii="Arial" w:hAnsi="Arial" w:cs="Arial"/>
          <w:color w:val="333333"/>
          <w:spacing w:val="5"/>
        </w:rPr>
        <w:t>students and faculty</w:t>
      </w:r>
      <w:r w:rsidRPr="007833E2">
        <w:rPr>
          <w:rFonts w:ascii="Arial" w:hAnsi="Arial" w:cs="Arial"/>
          <w:color w:val="333333"/>
          <w:spacing w:val="5"/>
        </w:rPr>
        <w:t xml:space="preserve"> </w:t>
      </w:r>
      <w:proofErr w:type="gramStart"/>
      <w:r w:rsidRPr="007833E2">
        <w:rPr>
          <w:rFonts w:ascii="Arial" w:hAnsi="Arial" w:cs="Arial"/>
          <w:color w:val="333333"/>
          <w:spacing w:val="5"/>
        </w:rPr>
        <w:t>a number of</w:t>
      </w:r>
      <w:proofErr w:type="gramEnd"/>
      <w:r w:rsidRPr="007833E2">
        <w:rPr>
          <w:rFonts w:ascii="Arial" w:hAnsi="Arial" w:cs="Arial"/>
          <w:color w:val="333333"/>
          <w:spacing w:val="5"/>
        </w:rPr>
        <w:t xml:space="preserve"> valuable onlin</w:t>
      </w:r>
      <w:r w:rsidRPr="00F25763">
        <w:rPr>
          <w:rFonts w:ascii="Arial" w:hAnsi="Arial" w:cs="Arial"/>
          <w:color w:val="333333"/>
          <w:spacing w:val="5"/>
        </w:rPr>
        <w:t xml:space="preserve">e </w:t>
      </w:r>
      <w:r w:rsidRPr="007833E2">
        <w:rPr>
          <w:rFonts w:ascii="Arial" w:hAnsi="Arial" w:cs="Arial"/>
          <w:color w:val="333333"/>
          <w:spacing w:val="5"/>
        </w:rPr>
        <w:t xml:space="preserve">resources to enhance and support quality teaching, learning, and testing prep. </w:t>
      </w:r>
      <w:r w:rsidRPr="00F25763">
        <w:rPr>
          <w:rFonts w:ascii="Arial" w:hAnsi="Arial" w:cs="Arial"/>
          <w:color w:val="333333"/>
          <w:spacing w:val="5"/>
        </w:rPr>
        <w:t>Our students and faculty</w:t>
      </w:r>
      <w:r w:rsidRPr="007833E2">
        <w:rPr>
          <w:rFonts w:ascii="Arial" w:hAnsi="Arial" w:cs="Arial"/>
          <w:color w:val="333333"/>
          <w:spacing w:val="5"/>
        </w:rPr>
        <w:t xml:space="preserve"> are able to use these resources to fulfill many of their curriculum needs, which ultimately </w:t>
      </w:r>
      <w:r w:rsidRPr="00F25763">
        <w:rPr>
          <w:rFonts w:ascii="Arial" w:hAnsi="Arial" w:cs="Arial"/>
          <w:color w:val="333333"/>
          <w:spacing w:val="5"/>
        </w:rPr>
        <w:t>helps our student’s successfully graduating high school.</w:t>
      </w:r>
    </w:p>
    <w:p w14:paraId="424BA961" w14:textId="77777777" w:rsidR="007833E2" w:rsidRPr="007833E2" w:rsidRDefault="007833E2" w:rsidP="00FD6FCE">
      <w:pPr>
        <w:shd w:val="clear" w:color="auto" w:fill="FFFFFF"/>
        <w:jc w:val="both"/>
        <w:rPr>
          <w:rFonts w:ascii="Arial" w:hAnsi="Arial" w:cs="Arial"/>
          <w:color w:val="333333"/>
          <w:spacing w:val="5"/>
        </w:rPr>
      </w:pPr>
      <w:r w:rsidRPr="007833E2">
        <w:rPr>
          <w:rFonts w:ascii="Arial" w:hAnsi="Arial" w:cs="Arial"/>
          <w:color w:val="333333"/>
          <w:spacing w:val="5"/>
        </w:rPr>
        <w:t xml:space="preserve">We encourage you to review this page, which provides an overview </w:t>
      </w:r>
      <w:r w:rsidRPr="00F25763">
        <w:rPr>
          <w:rFonts w:ascii="Arial" w:hAnsi="Arial" w:cs="Arial"/>
          <w:color w:val="333333"/>
          <w:spacing w:val="5"/>
        </w:rPr>
        <w:t xml:space="preserve">of these resources that students and faculty can access </w:t>
      </w:r>
      <w:r w:rsidRPr="007833E2">
        <w:rPr>
          <w:rFonts w:ascii="Arial" w:hAnsi="Arial" w:cs="Arial"/>
          <w:color w:val="333333"/>
          <w:spacing w:val="5"/>
        </w:rPr>
        <w:t xml:space="preserve">as part of their enrollment benefits in </w:t>
      </w:r>
      <w:r w:rsidRPr="00F25763">
        <w:rPr>
          <w:rFonts w:ascii="Arial" w:hAnsi="Arial" w:cs="Arial"/>
          <w:color w:val="333333"/>
          <w:spacing w:val="5"/>
        </w:rPr>
        <w:t>SunEd High</w:t>
      </w:r>
      <w:r w:rsidRPr="007833E2">
        <w:rPr>
          <w:rFonts w:ascii="Arial" w:hAnsi="Arial" w:cs="Arial"/>
          <w:color w:val="333333"/>
          <w:spacing w:val="5"/>
        </w:rPr>
        <w:t>.</w:t>
      </w:r>
    </w:p>
    <w:p w14:paraId="6BADBC89" w14:textId="77777777" w:rsidR="00547C98" w:rsidRDefault="007833E2" w:rsidP="00145B08">
      <w:pPr>
        <w:jc w:val="center"/>
        <w:rPr>
          <w:rFonts w:ascii="Arial" w:hAnsi="Arial" w:cs="Arial"/>
          <w:b/>
          <w:color w:val="00B050"/>
          <w:sz w:val="144"/>
          <w:szCs w:val="144"/>
        </w:rPr>
      </w:pPr>
      <w:r w:rsidRPr="007833E2">
        <w:rPr>
          <w:rFonts w:ascii="Arial" w:hAnsi="Arial" w:cs="Arial"/>
          <w:b/>
          <w:noProof/>
          <w:color w:val="00B050"/>
          <w:sz w:val="144"/>
          <w:szCs w:val="144"/>
        </w:rPr>
        <mc:AlternateContent>
          <mc:Choice Requires="wps">
            <w:drawing>
              <wp:inline distT="0" distB="0" distL="0" distR="0" wp14:anchorId="784952E6" wp14:editId="2FFE2D87">
                <wp:extent cx="304800" cy="304800"/>
                <wp:effectExtent l="0" t="0" r="0" b="0"/>
                <wp:docPr id="3" name="Rectangle 3" descr="Apex Learnin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74B89" id="Rectangle 3" o:spid="_x0000_s1026" alt="Apex Learning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LoJ58UCAADSBQAADgAAAAAAAAAAAAAAAAAuAgAAZHJzL2Uyb0RvYy54bWxQSwECLQAUAAYACAAA&#10;ACEATKDpLNgAAAADAQAADwAAAAAAAAAAAAAAAAAfBQAAZHJzL2Rvd25yZXYueG1sUEsFBgAAAAAE&#10;AAQA8wAAACQGAAAAAA==&#10;" filled="f" stroked="f">
                <o:lock v:ext="edit" aspectratio="t"/>
                <w10:anchorlock/>
              </v:rect>
            </w:pict>
          </mc:Fallback>
        </mc:AlternateContent>
      </w:r>
      <w:r>
        <w:rPr>
          <w:noProof/>
        </w:rPr>
        <w:drawing>
          <wp:inline distT="0" distB="0" distL="0" distR="0" wp14:anchorId="45256424" wp14:editId="221429C8">
            <wp:extent cx="2190750" cy="866775"/>
            <wp:effectExtent l="0" t="0" r="0" b="9525"/>
            <wp:docPr id="4" name="Picture 4" descr="Image result for apex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ex learn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66775"/>
                    </a:xfrm>
                    <a:prstGeom prst="rect">
                      <a:avLst/>
                    </a:prstGeom>
                    <a:noFill/>
                    <a:ln>
                      <a:noFill/>
                    </a:ln>
                  </pic:spPr>
                </pic:pic>
              </a:graphicData>
            </a:graphic>
          </wp:inline>
        </w:drawing>
      </w:r>
    </w:p>
    <w:p w14:paraId="0326CCDC" w14:textId="77777777" w:rsidR="00F25763" w:rsidRDefault="00F25763" w:rsidP="00FD6FCE">
      <w:pPr>
        <w:pStyle w:val="BodyText"/>
        <w:jc w:val="both"/>
        <w:rPr>
          <w:sz w:val="24"/>
          <w:szCs w:val="24"/>
        </w:rPr>
      </w:pPr>
      <w:r w:rsidRPr="00F25763">
        <w:rPr>
          <w:sz w:val="24"/>
          <w:szCs w:val="24"/>
        </w:rPr>
        <w:t>For credit-deficient students, digital curriculum that personalizes learning can be the difference between dropping out and earning a high school diploma. Our Comprehensive Courses provide students who have not been successful in their studies the opportunity to get back on track to graduation.</w:t>
      </w:r>
    </w:p>
    <w:p w14:paraId="028DB56B" w14:textId="77777777" w:rsidR="00F25763" w:rsidRDefault="00F25763" w:rsidP="00FD6FCE">
      <w:pPr>
        <w:pStyle w:val="BodyText"/>
        <w:jc w:val="both"/>
        <w:rPr>
          <w:sz w:val="24"/>
          <w:szCs w:val="24"/>
        </w:rPr>
      </w:pPr>
    </w:p>
    <w:p w14:paraId="117584C5" w14:textId="77777777" w:rsidR="00F25763" w:rsidRPr="00F25763" w:rsidRDefault="00F25763" w:rsidP="00FD6FCE">
      <w:pPr>
        <w:pStyle w:val="BodyText"/>
        <w:jc w:val="both"/>
        <w:rPr>
          <w:sz w:val="24"/>
          <w:szCs w:val="24"/>
        </w:rPr>
      </w:pPr>
      <w:r w:rsidRPr="00F25763">
        <w:rPr>
          <w:sz w:val="24"/>
          <w:szCs w:val="24"/>
        </w:rPr>
        <w:t>Alternative Programs</w:t>
      </w:r>
    </w:p>
    <w:p w14:paraId="64733B32" w14:textId="77777777" w:rsidR="00F25763" w:rsidRDefault="00F25763" w:rsidP="00FD6FCE">
      <w:pPr>
        <w:pStyle w:val="BodyText"/>
        <w:jc w:val="both"/>
        <w:rPr>
          <w:sz w:val="24"/>
          <w:szCs w:val="24"/>
        </w:rPr>
      </w:pPr>
      <w:r w:rsidRPr="00F25763">
        <w:rPr>
          <w:sz w:val="24"/>
          <w:szCs w:val="24"/>
        </w:rPr>
        <w:t>Offer students in non-traditional programs the opportunity to earn the credits required for graduation.</w:t>
      </w:r>
    </w:p>
    <w:p w14:paraId="33B2EA3D" w14:textId="77777777" w:rsidR="00F25763" w:rsidRDefault="00F25763" w:rsidP="00FD6FCE">
      <w:pPr>
        <w:pStyle w:val="BodyText"/>
        <w:jc w:val="both"/>
        <w:rPr>
          <w:sz w:val="24"/>
          <w:szCs w:val="24"/>
        </w:rPr>
      </w:pPr>
    </w:p>
    <w:p w14:paraId="71D0FE33" w14:textId="77777777" w:rsidR="00F25763" w:rsidRPr="00F25763" w:rsidRDefault="00F25763" w:rsidP="00FD6FCE">
      <w:pPr>
        <w:pStyle w:val="BodyText"/>
        <w:jc w:val="both"/>
        <w:rPr>
          <w:sz w:val="24"/>
          <w:szCs w:val="24"/>
        </w:rPr>
      </w:pPr>
      <w:r w:rsidRPr="00F25763">
        <w:rPr>
          <w:sz w:val="24"/>
          <w:szCs w:val="24"/>
        </w:rPr>
        <w:t>Credit Recovery</w:t>
      </w:r>
    </w:p>
    <w:p w14:paraId="79B4D4C6" w14:textId="77777777" w:rsidR="00F25763" w:rsidRDefault="00F25763" w:rsidP="00FD6FCE">
      <w:pPr>
        <w:pStyle w:val="BodyText"/>
        <w:jc w:val="both"/>
        <w:rPr>
          <w:sz w:val="24"/>
          <w:szCs w:val="24"/>
        </w:rPr>
      </w:pPr>
      <w:r w:rsidRPr="00F25763">
        <w:rPr>
          <w:sz w:val="24"/>
          <w:szCs w:val="24"/>
        </w:rPr>
        <w:t>Provide each student the opportunity to focus on exactly what he or she needs to master to recover credits.</w:t>
      </w:r>
    </w:p>
    <w:p w14:paraId="29539FA6" w14:textId="77777777" w:rsidR="00F25763" w:rsidRDefault="00F25763" w:rsidP="00FD6FCE">
      <w:pPr>
        <w:pStyle w:val="BodyText"/>
        <w:jc w:val="both"/>
        <w:rPr>
          <w:sz w:val="24"/>
          <w:szCs w:val="24"/>
        </w:rPr>
      </w:pPr>
    </w:p>
    <w:p w14:paraId="0820768E" w14:textId="77777777" w:rsidR="00F25763" w:rsidRPr="00F25763" w:rsidRDefault="00F25763" w:rsidP="00FD6FCE">
      <w:pPr>
        <w:pStyle w:val="BodyText"/>
        <w:jc w:val="both"/>
        <w:rPr>
          <w:sz w:val="24"/>
          <w:szCs w:val="24"/>
        </w:rPr>
      </w:pPr>
      <w:r w:rsidRPr="00F25763">
        <w:rPr>
          <w:sz w:val="24"/>
          <w:szCs w:val="24"/>
        </w:rPr>
        <w:t>Dropout Prevention</w:t>
      </w:r>
    </w:p>
    <w:p w14:paraId="6070D17E" w14:textId="77777777" w:rsidR="00F25763" w:rsidRDefault="00F25763" w:rsidP="00FD6FCE">
      <w:pPr>
        <w:pStyle w:val="BodyText"/>
        <w:jc w:val="both"/>
        <w:rPr>
          <w:sz w:val="24"/>
          <w:szCs w:val="24"/>
        </w:rPr>
      </w:pPr>
      <w:r w:rsidRPr="00F25763">
        <w:rPr>
          <w:sz w:val="24"/>
          <w:szCs w:val="24"/>
        </w:rPr>
        <w:t>Motivate at-risk students to stay in school.</w:t>
      </w:r>
    </w:p>
    <w:p w14:paraId="6321B98B" w14:textId="77777777" w:rsidR="00F25763" w:rsidRDefault="00F25763" w:rsidP="00FD6FCE">
      <w:pPr>
        <w:pStyle w:val="BodyText"/>
        <w:jc w:val="both"/>
        <w:rPr>
          <w:sz w:val="24"/>
          <w:szCs w:val="24"/>
        </w:rPr>
      </w:pPr>
    </w:p>
    <w:p w14:paraId="1FD8037B" w14:textId="77777777" w:rsidR="00F25763" w:rsidRPr="00F25763" w:rsidRDefault="00F25763" w:rsidP="00FD6FCE">
      <w:pPr>
        <w:pStyle w:val="BodyText"/>
        <w:jc w:val="both"/>
        <w:rPr>
          <w:sz w:val="24"/>
          <w:szCs w:val="24"/>
        </w:rPr>
      </w:pPr>
      <w:r w:rsidRPr="00F25763">
        <w:rPr>
          <w:sz w:val="24"/>
          <w:szCs w:val="24"/>
        </w:rPr>
        <w:t>Dropout Recovery</w:t>
      </w:r>
    </w:p>
    <w:p w14:paraId="3D0A546F" w14:textId="77777777" w:rsidR="00F25763" w:rsidRDefault="00F25763" w:rsidP="00FD6FCE">
      <w:pPr>
        <w:pStyle w:val="BodyText"/>
        <w:jc w:val="both"/>
        <w:rPr>
          <w:sz w:val="24"/>
          <w:szCs w:val="24"/>
        </w:rPr>
      </w:pPr>
      <w:r w:rsidRPr="00F25763">
        <w:rPr>
          <w:sz w:val="24"/>
          <w:szCs w:val="24"/>
        </w:rPr>
        <w:t>Encourage dropouts to re-engage with programs suited to both their learning and life needs.</w:t>
      </w:r>
    </w:p>
    <w:p w14:paraId="0CBA5547" w14:textId="77777777" w:rsidR="00615797" w:rsidRPr="00F25763" w:rsidRDefault="00615797" w:rsidP="005E5E3A">
      <w:pPr>
        <w:pStyle w:val="BodyText"/>
        <w:ind w:left="0"/>
        <w:jc w:val="both"/>
        <w:rPr>
          <w:b/>
          <w:color w:val="00B050"/>
          <w:sz w:val="24"/>
          <w:szCs w:val="24"/>
        </w:rPr>
      </w:pPr>
    </w:p>
    <w:p w14:paraId="3D556B35" w14:textId="77777777" w:rsidR="00FD6FCE" w:rsidRDefault="00FD6FCE" w:rsidP="00145B08">
      <w:pPr>
        <w:jc w:val="center"/>
        <w:rPr>
          <w:rFonts w:ascii="Arial" w:hAnsi="Arial" w:cs="Arial"/>
          <w:b/>
          <w:color w:val="00B050"/>
          <w:sz w:val="144"/>
          <w:szCs w:val="144"/>
        </w:rPr>
      </w:pPr>
      <w:r>
        <w:rPr>
          <w:noProof/>
        </w:rPr>
        <w:drawing>
          <wp:inline distT="0" distB="0" distL="0" distR="0" wp14:anchorId="2833E789" wp14:editId="6A4636A7">
            <wp:extent cx="2758440" cy="1005775"/>
            <wp:effectExtent l="0" t="0" r="3810" b="4445"/>
            <wp:docPr id="6" name="Picture 6" descr="Image result for reading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ading plu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036" cy="1064331"/>
                    </a:xfrm>
                    <a:prstGeom prst="rect">
                      <a:avLst/>
                    </a:prstGeom>
                    <a:noFill/>
                    <a:ln>
                      <a:noFill/>
                    </a:ln>
                  </pic:spPr>
                </pic:pic>
              </a:graphicData>
            </a:graphic>
          </wp:inline>
        </w:drawing>
      </w:r>
    </w:p>
    <w:p w14:paraId="10FEB27D" w14:textId="77777777" w:rsidR="00FD6FCE" w:rsidRDefault="00FD6FCE" w:rsidP="00FD6FCE">
      <w:pPr>
        <w:jc w:val="both"/>
        <w:rPr>
          <w:rFonts w:ascii="Arial" w:hAnsi="Arial" w:cs="Arial"/>
        </w:rPr>
      </w:pPr>
      <w:r w:rsidRPr="00FD6FCE">
        <w:rPr>
          <w:rFonts w:ascii="Arial" w:hAnsi="Arial" w:cs="Arial"/>
        </w:rPr>
        <w:t xml:space="preserve">If we want to change what students are capable of reading, we must also change how students read and why students read. To do this requires a comprehensive approach to reading instruction. Reading Plus begins with an assessment that measures a student’s </w:t>
      </w:r>
      <w:r w:rsidRPr="00FD6FCE">
        <w:rPr>
          <w:rFonts w:ascii="Arial" w:hAnsi="Arial" w:cs="Arial"/>
        </w:rPr>
        <w:lastRenderedPageBreak/>
        <w:t>reading capacity as well as his or her reading efficiency and motivation for reading. This allows for personalized and dynamically adjusted instruction that encourages independence, broadens interests, and builds knowledge. Educators easily monitor progress while using the integrated messaging tool to stay in dialogue with students as they experience the success of meeting individualized goals.</w:t>
      </w:r>
    </w:p>
    <w:p w14:paraId="16121DE9" w14:textId="77777777" w:rsidR="00FD6FCE" w:rsidRDefault="00FD6FCE" w:rsidP="00FD6FCE">
      <w:pPr>
        <w:jc w:val="both"/>
        <w:rPr>
          <w:rFonts w:ascii="Arial" w:hAnsi="Arial" w:cs="Arial"/>
        </w:rPr>
      </w:pPr>
    </w:p>
    <w:p w14:paraId="50122579" w14:textId="77777777" w:rsidR="00FD6FCE" w:rsidRDefault="00FD6FCE" w:rsidP="00FD6FCE">
      <w:pPr>
        <w:jc w:val="both"/>
        <w:rPr>
          <w:rFonts w:ascii="Arial" w:hAnsi="Arial" w:cs="Arial"/>
        </w:rPr>
      </w:pPr>
      <w:r w:rsidRPr="00FD6FCE">
        <w:rPr>
          <w:rFonts w:ascii="Arial" w:hAnsi="Arial" w:cs="Arial"/>
        </w:rPr>
        <w:t>Reading Plus simultaneously develops all three domains of reading–physical, cognitive, and emotional–by integrating them in one personalized online reading program. Rooted in eight decades of research, Reading Plus is proven to increase achievement in students from elementary grades through college.</w:t>
      </w:r>
    </w:p>
    <w:p w14:paraId="633464C7" w14:textId="77777777" w:rsidR="00FD6FCE" w:rsidRDefault="00FD6FCE" w:rsidP="00FD6FCE">
      <w:pPr>
        <w:jc w:val="both"/>
        <w:rPr>
          <w:rFonts w:ascii="Arial" w:hAnsi="Arial" w:cs="Arial"/>
        </w:rPr>
      </w:pPr>
    </w:p>
    <w:p w14:paraId="6C0B0D9E" w14:textId="77777777" w:rsidR="00FD6FCE" w:rsidRDefault="00FD6FCE" w:rsidP="00FD6FCE">
      <w:pPr>
        <w:jc w:val="both"/>
        <w:rPr>
          <w:rFonts w:ascii="Arial" w:hAnsi="Arial" w:cs="Arial"/>
        </w:rPr>
      </w:pPr>
      <w:r w:rsidRPr="00FD6FCE">
        <w:rPr>
          <w:rFonts w:ascii="Arial" w:hAnsi="Arial" w:cs="Arial"/>
        </w:rPr>
        <w:t>Reading Plus opens the gateway to discovering reading as a source of knowledge, insight, and joy. The result is not just a better reader, but a lifelong reader.</w:t>
      </w:r>
    </w:p>
    <w:p w14:paraId="1032F095" w14:textId="77777777" w:rsidR="0019627D" w:rsidRDefault="0019627D" w:rsidP="0019627D"/>
    <w:p w14:paraId="7D54A188" w14:textId="77777777" w:rsidR="0019627D" w:rsidRDefault="0019627D" w:rsidP="007833E2">
      <w:pPr>
        <w:rPr>
          <w:rFonts w:ascii="Arial" w:hAnsi="Arial" w:cs="Arial"/>
          <w:b/>
          <w:color w:val="00B050"/>
        </w:rPr>
      </w:pPr>
    </w:p>
    <w:p w14:paraId="32C5E0B5" w14:textId="77777777" w:rsidR="0019627D" w:rsidRDefault="0019627D" w:rsidP="00145B08">
      <w:pPr>
        <w:jc w:val="center"/>
        <w:rPr>
          <w:rFonts w:ascii="Arial" w:hAnsi="Arial" w:cs="Arial"/>
          <w:b/>
          <w:color w:val="00B050"/>
        </w:rPr>
      </w:pPr>
      <w:r w:rsidRPr="00CC743A">
        <w:rPr>
          <w:noProof/>
        </w:rPr>
        <w:drawing>
          <wp:inline distT="0" distB="0" distL="0" distR="0" wp14:anchorId="03A2CF3E" wp14:editId="17F51EF2">
            <wp:extent cx="3070860" cy="746760"/>
            <wp:effectExtent l="0" t="0" r="0" b="0"/>
            <wp:docPr id="19" name="Picture 19" descr="Image result for florida assessment for instruction i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florida assessment for instruction in r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746760"/>
                    </a:xfrm>
                    <a:prstGeom prst="rect">
                      <a:avLst/>
                    </a:prstGeom>
                    <a:noFill/>
                    <a:ln>
                      <a:noFill/>
                    </a:ln>
                  </pic:spPr>
                </pic:pic>
              </a:graphicData>
            </a:graphic>
          </wp:inline>
        </w:drawing>
      </w:r>
    </w:p>
    <w:p w14:paraId="6C4A54CC" w14:textId="77777777" w:rsidR="0019627D" w:rsidRDefault="0019627D" w:rsidP="007833E2">
      <w:pPr>
        <w:rPr>
          <w:rFonts w:ascii="Arial" w:hAnsi="Arial" w:cs="Arial"/>
          <w:b/>
          <w:color w:val="00B050"/>
        </w:rPr>
      </w:pPr>
    </w:p>
    <w:p w14:paraId="7AA3F62A" w14:textId="77777777" w:rsidR="0019627D" w:rsidRPr="0019627D" w:rsidRDefault="0019627D" w:rsidP="0019627D">
      <w:pPr>
        <w:jc w:val="both"/>
        <w:rPr>
          <w:rFonts w:ascii="Arial" w:hAnsi="Arial" w:cs="Arial"/>
        </w:rPr>
      </w:pPr>
      <w:r w:rsidRPr="0019627D">
        <w:rPr>
          <w:rFonts w:ascii="Arial" w:hAnsi="Arial" w:cs="Arial"/>
        </w:rPr>
        <w:t>The Florida Department of Education has made new Florida Assessments for Instruction in Reading available to K- 12 public schools free of charge. Developed by the Florida Center for Reading Research in collaboration with Just Read, Florida!, this new assessment system provides teachers screening, diagnostic, and progress monitoring information that is essential to guiding instruction.</w:t>
      </w:r>
    </w:p>
    <w:p w14:paraId="7F27A45D" w14:textId="77777777" w:rsidR="0019627D" w:rsidRPr="0019627D" w:rsidRDefault="0019627D" w:rsidP="007833E2">
      <w:pPr>
        <w:rPr>
          <w:rFonts w:ascii="Arial" w:hAnsi="Arial" w:cs="Arial"/>
          <w:b/>
          <w:color w:val="00B050"/>
        </w:rPr>
      </w:pPr>
    </w:p>
    <w:p w14:paraId="22AD0ED3" w14:textId="77777777" w:rsidR="005E5E3A" w:rsidRDefault="005E5E3A" w:rsidP="005E5E3A">
      <w:pPr>
        <w:rPr>
          <w:rFonts w:ascii="Arial" w:hAnsi="Arial" w:cs="Arial"/>
          <w:b/>
          <w:sz w:val="36"/>
          <w:szCs w:val="36"/>
        </w:rPr>
      </w:pPr>
    </w:p>
    <w:p w14:paraId="2BF15675" w14:textId="0397EFD5" w:rsidR="004E5360" w:rsidRPr="005E5E3A" w:rsidRDefault="00C5534C" w:rsidP="005E5E3A">
      <w:pPr>
        <w:jc w:val="center"/>
        <w:rPr>
          <w:rFonts w:ascii="Arial" w:hAnsi="Arial" w:cs="Arial"/>
          <w:b/>
          <w:sz w:val="32"/>
          <w:szCs w:val="32"/>
        </w:rPr>
      </w:pPr>
      <w:r w:rsidRPr="005E5E3A">
        <w:rPr>
          <w:rFonts w:ascii="Arial" w:hAnsi="Arial" w:cs="Arial"/>
          <w:b/>
          <w:sz w:val="32"/>
          <w:szCs w:val="32"/>
        </w:rPr>
        <w:t>STATE ASSESSMENTS</w:t>
      </w:r>
    </w:p>
    <w:p w14:paraId="648E8DC2" w14:textId="77777777" w:rsidR="006443AD" w:rsidRDefault="006443AD" w:rsidP="00786ECC">
      <w:pPr>
        <w:jc w:val="center"/>
        <w:rPr>
          <w:rFonts w:ascii="Arial" w:hAnsi="Arial" w:cs="Arial"/>
          <w:b/>
          <w:color w:val="00B050"/>
          <w:sz w:val="144"/>
          <w:szCs w:val="144"/>
        </w:rPr>
      </w:pPr>
      <w:r>
        <w:rPr>
          <w:noProof/>
        </w:rPr>
        <w:drawing>
          <wp:inline distT="0" distB="0" distL="0" distR="0" wp14:anchorId="516A67F0" wp14:editId="1FBB3C12">
            <wp:extent cx="2276475" cy="609600"/>
            <wp:effectExtent l="0" t="0" r="0" b="0"/>
            <wp:docPr id="7" name="Picture 7" descr="Image result for 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969" cy="630887"/>
                    </a:xfrm>
                    <a:prstGeom prst="rect">
                      <a:avLst/>
                    </a:prstGeom>
                    <a:noFill/>
                    <a:ln>
                      <a:noFill/>
                    </a:ln>
                  </pic:spPr>
                </pic:pic>
              </a:graphicData>
            </a:graphic>
          </wp:inline>
        </w:drawing>
      </w:r>
    </w:p>
    <w:p w14:paraId="4BE141B7" w14:textId="77777777" w:rsidR="00786ECC" w:rsidRPr="00786ECC" w:rsidRDefault="00786ECC" w:rsidP="00786ECC">
      <w:pPr>
        <w:pStyle w:val="BodyText"/>
        <w:jc w:val="both"/>
        <w:rPr>
          <w:sz w:val="24"/>
          <w:szCs w:val="24"/>
        </w:rPr>
      </w:pPr>
      <w:r w:rsidRPr="00786ECC">
        <w:rPr>
          <w:sz w:val="24"/>
          <w:szCs w:val="24"/>
        </w:rPr>
        <w:t>The Florida Standards are the content standards that identify the expectations for what students enrolled in Florida schools need to know and be able to do. The Florida Standards in English Language Arts (ELA) and Mathematics were approved by the Florida State Board of Education (SBOE) in February 2014 and were fully implemented in grades K–12 in the 2014–2015 school year.</w:t>
      </w:r>
    </w:p>
    <w:p w14:paraId="1BA2D516" w14:textId="77777777" w:rsidR="00786ECC" w:rsidRPr="00786ECC" w:rsidRDefault="00786ECC" w:rsidP="00786ECC">
      <w:pPr>
        <w:pStyle w:val="BodyText"/>
        <w:jc w:val="both"/>
        <w:rPr>
          <w:sz w:val="24"/>
          <w:szCs w:val="24"/>
        </w:rPr>
      </w:pPr>
    </w:p>
    <w:p w14:paraId="4986AF93" w14:textId="641E73AA" w:rsidR="00E974D0" w:rsidRPr="005E5E3A" w:rsidRDefault="00786ECC" w:rsidP="005E5E3A">
      <w:pPr>
        <w:pStyle w:val="BodyText"/>
        <w:jc w:val="both"/>
        <w:rPr>
          <w:sz w:val="24"/>
          <w:szCs w:val="24"/>
        </w:rPr>
      </w:pPr>
      <w:r w:rsidRPr="00786ECC">
        <w:rPr>
          <w:sz w:val="24"/>
          <w:szCs w:val="24"/>
        </w:rPr>
        <w:t xml:space="preserve">All Florida schools teach the Florida Standards. The Florida Standards Assessments (FSA) provide parents and families, teachers, policy makers, and the </w:t>
      </w:r>
      <w:proofErr w:type="gramStart"/>
      <w:r w:rsidRPr="00786ECC">
        <w:rPr>
          <w:sz w:val="24"/>
          <w:szCs w:val="24"/>
        </w:rPr>
        <w:t>general public</w:t>
      </w:r>
      <w:proofErr w:type="gramEnd"/>
      <w:r w:rsidRPr="00786ECC">
        <w:rPr>
          <w:sz w:val="24"/>
          <w:szCs w:val="24"/>
        </w:rPr>
        <w:t xml:space="preserve"> with information regarding how well students are learning the Florida Standards.</w:t>
      </w:r>
    </w:p>
    <w:p w14:paraId="456E9554" w14:textId="77777777" w:rsidR="005E5E3A" w:rsidRDefault="005E5E3A" w:rsidP="002134C9">
      <w:pPr>
        <w:pStyle w:val="BodyText"/>
        <w:spacing w:line="468" w:lineRule="exact"/>
        <w:jc w:val="center"/>
        <w:rPr>
          <w:b/>
        </w:rPr>
      </w:pPr>
    </w:p>
    <w:p w14:paraId="0E4D5067" w14:textId="77777777" w:rsidR="005E5E3A" w:rsidRDefault="005E5E3A" w:rsidP="002134C9">
      <w:pPr>
        <w:pStyle w:val="BodyText"/>
        <w:spacing w:line="468" w:lineRule="exact"/>
        <w:jc w:val="center"/>
        <w:rPr>
          <w:b/>
        </w:rPr>
      </w:pPr>
    </w:p>
    <w:p w14:paraId="2677FB08" w14:textId="3E639B65" w:rsidR="002134C9" w:rsidRPr="00786ECC" w:rsidRDefault="002134C9" w:rsidP="002134C9">
      <w:pPr>
        <w:pStyle w:val="BodyText"/>
        <w:spacing w:line="468" w:lineRule="exact"/>
        <w:jc w:val="center"/>
        <w:rPr>
          <w:b/>
        </w:rPr>
      </w:pPr>
      <w:r w:rsidRPr="00786ECC">
        <w:rPr>
          <w:b/>
        </w:rPr>
        <w:lastRenderedPageBreak/>
        <w:t>FLORIDA STATEWIDE ASSESSMENT PROGRAM</w:t>
      </w:r>
    </w:p>
    <w:p w14:paraId="63E635AD" w14:textId="35594E95" w:rsidR="005244BA" w:rsidRDefault="00615797" w:rsidP="002134C9">
      <w:pPr>
        <w:pStyle w:val="BodyText"/>
        <w:ind w:right="3"/>
        <w:jc w:val="center"/>
        <w:rPr>
          <w:b/>
        </w:rPr>
      </w:pPr>
      <w:r>
        <w:rPr>
          <w:b/>
        </w:rPr>
        <w:t>2020-21</w:t>
      </w:r>
      <w:r w:rsidR="002134C9" w:rsidRPr="00786ECC">
        <w:rPr>
          <w:b/>
        </w:rPr>
        <w:t xml:space="preserve"> SCHEDULE</w:t>
      </w:r>
    </w:p>
    <w:p w14:paraId="11A60A89" w14:textId="77777777" w:rsidR="00786ECC" w:rsidRDefault="00786ECC" w:rsidP="002134C9">
      <w:pPr>
        <w:pStyle w:val="BodyText"/>
        <w:ind w:right="3"/>
        <w:jc w:val="center"/>
      </w:pPr>
    </w:p>
    <w:tbl>
      <w:tblPr>
        <w:tblW w:w="1005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96"/>
        <w:gridCol w:w="6660"/>
      </w:tblGrid>
      <w:tr w:rsidR="002134C9" w14:paraId="4FA13DE8" w14:textId="77777777" w:rsidTr="005244BA">
        <w:trPr>
          <w:trHeight w:val="646"/>
          <w:jc w:val="center"/>
        </w:trPr>
        <w:tc>
          <w:tcPr>
            <w:tcW w:w="10056" w:type="dxa"/>
            <w:gridSpan w:val="2"/>
            <w:tcBorders>
              <w:bottom w:val="single" w:sz="12" w:space="0" w:color="000000"/>
            </w:tcBorders>
            <w:shd w:val="clear" w:color="auto" w:fill="1F1C52"/>
          </w:tcPr>
          <w:p w14:paraId="29EEF7B2" w14:textId="77777777" w:rsidR="002134C9" w:rsidRDefault="002134C9" w:rsidP="00F72F98">
            <w:pPr>
              <w:pStyle w:val="TableParagraph"/>
              <w:spacing w:before="5" w:line="622" w:lineRule="exact"/>
              <w:ind w:left="20"/>
              <w:rPr>
                <w:b/>
                <w:sz w:val="32"/>
              </w:rPr>
            </w:pPr>
            <w:r>
              <w:rPr>
                <w:noProof/>
                <w:position w:val="-9"/>
              </w:rPr>
              <w:drawing>
                <wp:inline distT="0" distB="0" distL="0" distR="0" wp14:anchorId="0F03C31B" wp14:editId="1E60996F">
                  <wp:extent cx="1107059" cy="405129"/>
                  <wp:effectExtent l="0" t="0" r="0" b="0"/>
                  <wp:docPr id="20" name="image1.jpeg" descr="Florida Standards Assess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107059" cy="405129"/>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color w:val="FFFFFF"/>
                <w:sz w:val="32"/>
              </w:rPr>
              <w:t>Florida Standards Assessments</w:t>
            </w:r>
            <w:r>
              <w:rPr>
                <w:b/>
                <w:color w:val="FFFFFF"/>
                <w:spacing w:val="-3"/>
                <w:sz w:val="32"/>
              </w:rPr>
              <w:t xml:space="preserve"> </w:t>
            </w:r>
            <w:r>
              <w:rPr>
                <w:b/>
                <w:color w:val="FFFFFF"/>
                <w:sz w:val="32"/>
              </w:rPr>
              <w:t>(FSA)</w:t>
            </w:r>
          </w:p>
        </w:tc>
      </w:tr>
      <w:tr w:rsidR="002134C9" w14:paraId="1FD85D69" w14:textId="77777777" w:rsidTr="005244BA">
        <w:trPr>
          <w:trHeight w:val="294"/>
          <w:jc w:val="center"/>
        </w:trPr>
        <w:tc>
          <w:tcPr>
            <w:tcW w:w="10056" w:type="dxa"/>
            <w:gridSpan w:val="2"/>
            <w:tcBorders>
              <w:top w:val="single" w:sz="12" w:space="0" w:color="000000"/>
              <w:bottom w:val="single" w:sz="12" w:space="0" w:color="000000"/>
            </w:tcBorders>
            <w:shd w:val="clear" w:color="auto" w:fill="DBAB27"/>
          </w:tcPr>
          <w:p w14:paraId="77D0C9BD" w14:textId="77777777" w:rsidR="002134C9" w:rsidRDefault="002134C9" w:rsidP="002134C9">
            <w:pPr>
              <w:pStyle w:val="TableParagraph"/>
              <w:spacing w:line="273" w:lineRule="exact"/>
              <w:ind w:left="2550"/>
              <w:rPr>
                <w:b/>
                <w:sz w:val="24"/>
              </w:rPr>
            </w:pPr>
            <w:r>
              <w:rPr>
                <w:b/>
                <w:sz w:val="24"/>
              </w:rPr>
              <w:t>FSA English Language Arts (ELA) and Mathematics</w:t>
            </w:r>
          </w:p>
        </w:tc>
      </w:tr>
      <w:tr w:rsidR="002134C9" w14:paraId="238833D0" w14:textId="77777777" w:rsidTr="005244BA">
        <w:trPr>
          <w:trHeight w:val="267"/>
          <w:jc w:val="center"/>
        </w:trPr>
        <w:tc>
          <w:tcPr>
            <w:tcW w:w="3396" w:type="dxa"/>
            <w:tcBorders>
              <w:top w:val="single" w:sz="12" w:space="0" w:color="000000"/>
              <w:bottom w:val="single" w:sz="2" w:space="0" w:color="000000"/>
              <w:right w:val="single" w:sz="4" w:space="0" w:color="000000"/>
            </w:tcBorders>
            <w:shd w:val="clear" w:color="auto" w:fill="1F1C52"/>
          </w:tcPr>
          <w:p w14:paraId="4A844176" w14:textId="77777777" w:rsidR="002134C9" w:rsidRDefault="002134C9" w:rsidP="002134C9">
            <w:pPr>
              <w:pStyle w:val="TableParagraph"/>
              <w:spacing w:line="248" w:lineRule="exact"/>
              <w:rPr>
                <w:b/>
              </w:rPr>
            </w:pPr>
            <w:r>
              <w:rPr>
                <w:b/>
                <w:color w:val="FFFFFF"/>
              </w:rPr>
              <w:t>Dates</w:t>
            </w:r>
          </w:p>
        </w:tc>
        <w:tc>
          <w:tcPr>
            <w:tcW w:w="6660" w:type="dxa"/>
            <w:tcBorders>
              <w:top w:val="single" w:sz="12" w:space="0" w:color="000000"/>
              <w:left w:val="single" w:sz="4" w:space="0" w:color="000000"/>
              <w:bottom w:val="single" w:sz="4" w:space="0" w:color="000000"/>
            </w:tcBorders>
            <w:shd w:val="clear" w:color="auto" w:fill="1F1C52"/>
          </w:tcPr>
          <w:p w14:paraId="4ED02E2C" w14:textId="77777777" w:rsidR="002134C9" w:rsidRDefault="002134C9" w:rsidP="002134C9">
            <w:pPr>
              <w:pStyle w:val="TableParagraph"/>
              <w:spacing w:line="248" w:lineRule="exact"/>
              <w:ind w:left="124"/>
              <w:rPr>
                <w:b/>
              </w:rPr>
            </w:pPr>
            <w:r>
              <w:rPr>
                <w:b/>
                <w:color w:val="FFFFFF"/>
              </w:rPr>
              <w:t>Assessment</w:t>
            </w:r>
          </w:p>
        </w:tc>
      </w:tr>
      <w:tr w:rsidR="002134C9" w14:paraId="2D8DFB2A" w14:textId="77777777" w:rsidTr="005244BA">
        <w:trPr>
          <w:trHeight w:val="407"/>
          <w:jc w:val="center"/>
        </w:trPr>
        <w:tc>
          <w:tcPr>
            <w:tcW w:w="3396" w:type="dxa"/>
            <w:tcBorders>
              <w:top w:val="single" w:sz="2" w:space="0" w:color="000000"/>
              <w:bottom w:val="single" w:sz="2" w:space="0" w:color="000000"/>
              <w:right w:val="single" w:sz="4" w:space="0" w:color="000000"/>
            </w:tcBorders>
          </w:tcPr>
          <w:p w14:paraId="3B3886A2" w14:textId="690AA89F" w:rsidR="002134C9" w:rsidRPr="002134C9" w:rsidRDefault="00615797" w:rsidP="002134C9">
            <w:pPr>
              <w:pStyle w:val="TableParagraph"/>
              <w:rPr>
                <w:sz w:val="20"/>
                <w:szCs w:val="20"/>
              </w:rPr>
            </w:pPr>
            <w:r>
              <w:rPr>
                <w:sz w:val="20"/>
                <w:szCs w:val="20"/>
              </w:rPr>
              <w:t>April 5-16, 2021</w:t>
            </w:r>
          </w:p>
        </w:tc>
        <w:tc>
          <w:tcPr>
            <w:tcW w:w="6660" w:type="dxa"/>
            <w:tcBorders>
              <w:top w:val="single" w:sz="4" w:space="0" w:color="000000"/>
              <w:left w:val="single" w:sz="4" w:space="0" w:color="000000"/>
              <w:bottom w:val="single" w:sz="4" w:space="0" w:color="000000"/>
            </w:tcBorders>
          </w:tcPr>
          <w:p w14:paraId="0291C70D" w14:textId="77777777" w:rsidR="002134C9" w:rsidRPr="002134C9" w:rsidRDefault="002134C9" w:rsidP="002134C9">
            <w:pPr>
              <w:pStyle w:val="TableParagraph"/>
              <w:ind w:left="124"/>
              <w:rPr>
                <w:sz w:val="20"/>
                <w:szCs w:val="20"/>
              </w:rPr>
            </w:pPr>
            <w:r w:rsidRPr="002134C9">
              <w:rPr>
                <w:sz w:val="20"/>
                <w:szCs w:val="20"/>
              </w:rPr>
              <w:t>Grades 9–10 ELA Writing</w:t>
            </w:r>
          </w:p>
        </w:tc>
      </w:tr>
      <w:tr w:rsidR="002134C9" w14:paraId="0983ECDD" w14:textId="77777777" w:rsidTr="005244BA">
        <w:trPr>
          <w:trHeight w:val="350"/>
          <w:jc w:val="center"/>
        </w:trPr>
        <w:tc>
          <w:tcPr>
            <w:tcW w:w="3396" w:type="dxa"/>
            <w:tcBorders>
              <w:top w:val="single" w:sz="2" w:space="0" w:color="000000"/>
              <w:bottom w:val="single" w:sz="12" w:space="0" w:color="000000"/>
              <w:right w:val="single" w:sz="4" w:space="0" w:color="000000"/>
            </w:tcBorders>
          </w:tcPr>
          <w:p w14:paraId="3AE95200" w14:textId="3E1B2C28" w:rsidR="002134C9" w:rsidRPr="002134C9" w:rsidRDefault="00615797" w:rsidP="002134C9">
            <w:pPr>
              <w:pStyle w:val="TableParagraph"/>
              <w:rPr>
                <w:sz w:val="20"/>
                <w:szCs w:val="20"/>
              </w:rPr>
            </w:pPr>
            <w:r>
              <w:rPr>
                <w:sz w:val="20"/>
                <w:szCs w:val="20"/>
              </w:rPr>
              <w:t xml:space="preserve">May </w:t>
            </w:r>
            <w:r w:rsidR="00E974D0">
              <w:rPr>
                <w:sz w:val="20"/>
                <w:szCs w:val="20"/>
              </w:rPr>
              <w:t>3-28, 2021</w:t>
            </w:r>
          </w:p>
        </w:tc>
        <w:tc>
          <w:tcPr>
            <w:tcW w:w="6660" w:type="dxa"/>
            <w:tcBorders>
              <w:top w:val="single" w:sz="4" w:space="0" w:color="000000"/>
              <w:left w:val="single" w:sz="4" w:space="0" w:color="000000"/>
              <w:bottom w:val="single" w:sz="12" w:space="0" w:color="000000"/>
            </w:tcBorders>
          </w:tcPr>
          <w:p w14:paraId="23FBAF61" w14:textId="77777777" w:rsidR="002134C9" w:rsidRPr="002134C9" w:rsidRDefault="002134C9" w:rsidP="002134C9">
            <w:pPr>
              <w:pStyle w:val="TableParagraph"/>
              <w:spacing w:line="265" w:lineRule="exact"/>
              <w:ind w:left="124"/>
              <w:rPr>
                <w:sz w:val="20"/>
                <w:szCs w:val="20"/>
              </w:rPr>
            </w:pPr>
            <w:r w:rsidRPr="002134C9">
              <w:rPr>
                <w:sz w:val="20"/>
                <w:szCs w:val="20"/>
              </w:rPr>
              <w:t>Grades 9–10 ELA Reading</w:t>
            </w:r>
          </w:p>
        </w:tc>
      </w:tr>
      <w:tr w:rsidR="002134C9" w14:paraId="3C34A607" w14:textId="77777777" w:rsidTr="005244BA">
        <w:trPr>
          <w:trHeight w:val="216"/>
          <w:jc w:val="center"/>
        </w:trPr>
        <w:tc>
          <w:tcPr>
            <w:tcW w:w="10056" w:type="dxa"/>
            <w:gridSpan w:val="2"/>
            <w:tcBorders>
              <w:bottom w:val="single" w:sz="12" w:space="0" w:color="000000"/>
            </w:tcBorders>
            <w:shd w:val="clear" w:color="auto" w:fill="DBAB27"/>
          </w:tcPr>
          <w:p w14:paraId="25229ED9" w14:textId="77777777" w:rsidR="002134C9" w:rsidRDefault="002134C9" w:rsidP="002134C9">
            <w:pPr>
              <w:pStyle w:val="TableParagraph"/>
              <w:spacing w:line="273" w:lineRule="exact"/>
              <w:ind w:left="3422" w:right="3383"/>
              <w:jc w:val="center"/>
              <w:rPr>
                <w:b/>
                <w:sz w:val="24"/>
              </w:rPr>
            </w:pPr>
            <w:r>
              <w:rPr>
                <w:b/>
                <w:sz w:val="24"/>
              </w:rPr>
              <w:t>FSA Retakes</w:t>
            </w:r>
          </w:p>
        </w:tc>
      </w:tr>
      <w:tr w:rsidR="002134C9" w14:paraId="21B35008" w14:textId="77777777" w:rsidTr="005244BA">
        <w:trPr>
          <w:trHeight w:val="267"/>
          <w:jc w:val="center"/>
        </w:trPr>
        <w:tc>
          <w:tcPr>
            <w:tcW w:w="3396" w:type="dxa"/>
            <w:tcBorders>
              <w:top w:val="single" w:sz="12" w:space="0" w:color="000000"/>
              <w:bottom w:val="single" w:sz="4" w:space="0" w:color="000000"/>
              <w:right w:val="single" w:sz="4" w:space="0" w:color="000000"/>
            </w:tcBorders>
            <w:shd w:val="clear" w:color="auto" w:fill="1F1C52"/>
          </w:tcPr>
          <w:p w14:paraId="4AD2210D" w14:textId="77777777" w:rsidR="002134C9" w:rsidRDefault="002134C9" w:rsidP="002134C9">
            <w:pPr>
              <w:pStyle w:val="TableParagraph"/>
              <w:spacing w:line="248" w:lineRule="exact"/>
              <w:rPr>
                <w:b/>
              </w:rPr>
            </w:pPr>
            <w:r>
              <w:rPr>
                <w:b/>
                <w:color w:val="FFFFFF"/>
              </w:rPr>
              <w:t>Dates</w:t>
            </w:r>
          </w:p>
        </w:tc>
        <w:tc>
          <w:tcPr>
            <w:tcW w:w="6660" w:type="dxa"/>
            <w:tcBorders>
              <w:top w:val="single" w:sz="12" w:space="0" w:color="000000"/>
              <w:left w:val="single" w:sz="4" w:space="0" w:color="000000"/>
              <w:bottom w:val="single" w:sz="4" w:space="0" w:color="000000"/>
            </w:tcBorders>
            <w:shd w:val="clear" w:color="auto" w:fill="1F1C52"/>
          </w:tcPr>
          <w:p w14:paraId="7A4AC6A3" w14:textId="77777777" w:rsidR="002134C9" w:rsidRDefault="002134C9" w:rsidP="002134C9">
            <w:pPr>
              <w:pStyle w:val="TableParagraph"/>
              <w:spacing w:line="248" w:lineRule="exact"/>
              <w:ind w:left="124"/>
              <w:rPr>
                <w:b/>
              </w:rPr>
            </w:pPr>
            <w:r>
              <w:rPr>
                <w:b/>
                <w:color w:val="FFFFFF"/>
              </w:rPr>
              <w:t>Assessment</w:t>
            </w:r>
          </w:p>
        </w:tc>
      </w:tr>
      <w:tr w:rsidR="002134C9" w14:paraId="0C3C2DEA" w14:textId="77777777" w:rsidTr="005244BA">
        <w:trPr>
          <w:trHeight w:val="537"/>
          <w:jc w:val="center"/>
        </w:trPr>
        <w:tc>
          <w:tcPr>
            <w:tcW w:w="3396" w:type="dxa"/>
            <w:tcBorders>
              <w:top w:val="single" w:sz="4" w:space="0" w:color="000000"/>
              <w:bottom w:val="single" w:sz="4" w:space="0" w:color="000000"/>
              <w:right w:val="single" w:sz="4" w:space="0" w:color="000000"/>
            </w:tcBorders>
          </w:tcPr>
          <w:p w14:paraId="7711FD46" w14:textId="162A0B43" w:rsidR="002134C9" w:rsidRDefault="002134C9" w:rsidP="002134C9">
            <w:pPr>
              <w:pStyle w:val="TableParagraph"/>
              <w:spacing w:line="265" w:lineRule="exact"/>
            </w:pPr>
            <w:r>
              <w:t>September 1</w:t>
            </w:r>
            <w:r w:rsidR="00E974D0">
              <w:t>4</w:t>
            </w:r>
            <w:r>
              <w:t xml:space="preserve">–October </w:t>
            </w:r>
            <w:r w:rsidR="00E974D0">
              <w:t>2</w:t>
            </w:r>
            <w:r>
              <w:t>, 20</w:t>
            </w:r>
            <w:r w:rsidR="00E974D0">
              <w:t>20</w:t>
            </w:r>
          </w:p>
          <w:p w14:paraId="082E5361" w14:textId="4A3DCF13" w:rsidR="002134C9" w:rsidRDefault="002134C9" w:rsidP="002134C9">
            <w:pPr>
              <w:pStyle w:val="TableParagraph"/>
              <w:spacing w:line="252" w:lineRule="exact"/>
            </w:pPr>
            <w:r>
              <w:t>February 2</w:t>
            </w:r>
            <w:r w:rsidR="00E974D0">
              <w:t>2</w:t>
            </w:r>
            <w:r>
              <w:t xml:space="preserve">–March </w:t>
            </w:r>
            <w:r w:rsidR="00E974D0">
              <w:t>12</w:t>
            </w:r>
            <w:r>
              <w:t>, 20</w:t>
            </w:r>
            <w:r w:rsidR="00E974D0">
              <w:t>21</w:t>
            </w:r>
          </w:p>
        </w:tc>
        <w:tc>
          <w:tcPr>
            <w:tcW w:w="6660" w:type="dxa"/>
            <w:tcBorders>
              <w:top w:val="single" w:sz="4" w:space="0" w:color="000000"/>
              <w:left w:val="single" w:sz="4" w:space="0" w:color="000000"/>
              <w:bottom w:val="single" w:sz="4" w:space="0" w:color="000000"/>
            </w:tcBorders>
          </w:tcPr>
          <w:p w14:paraId="30123597" w14:textId="77777777" w:rsidR="002134C9" w:rsidRDefault="002134C9" w:rsidP="002134C9">
            <w:pPr>
              <w:pStyle w:val="TableParagraph"/>
              <w:ind w:left="124"/>
            </w:pPr>
            <w:r>
              <w:t>Grade 10 ELA Writing Retake</w:t>
            </w:r>
          </w:p>
          <w:p w14:paraId="744167E8" w14:textId="350EDA2D" w:rsidR="00E974D0" w:rsidRDefault="00E974D0" w:rsidP="002134C9">
            <w:pPr>
              <w:pStyle w:val="TableParagraph"/>
              <w:ind w:left="124"/>
            </w:pPr>
            <w:r>
              <w:t>Grade 10 ELA Reading Retake</w:t>
            </w:r>
          </w:p>
        </w:tc>
      </w:tr>
      <w:tr w:rsidR="00E974D0" w14:paraId="4EC3E6D4" w14:textId="77777777" w:rsidTr="005244BA">
        <w:trPr>
          <w:trHeight w:val="537"/>
          <w:jc w:val="center"/>
        </w:trPr>
        <w:tc>
          <w:tcPr>
            <w:tcW w:w="3396" w:type="dxa"/>
            <w:tcBorders>
              <w:top w:val="single" w:sz="4" w:space="0" w:color="000000"/>
              <w:bottom w:val="single" w:sz="4" w:space="0" w:color="000000"/>
              <w:right w:val="single" w:sz="4" w:space="0" w:color="000000"/>
            </w:tcBorders>
          </w:tcPr>
          <w:p w14:paraId="105509A3" w14:textId="33CD1004" w:rsidR="00E974D0" w:rsidRDefault="00E974D0" w:rsidP="002134C9">
            <w:pPr>
              <w:pStyle w:val="TableParagraph"/>
              <w:spacing w:line="265" w:lineRule="exact"/>
            </w:pPr>
            <w:r>
              <w:t>February 22–March 12, 2021</w:t>
            </w:r>
          </w:p>
        </w:tc>
        <w:tc>
          <w:tcPr>
            <w:tcW w:w="6660" w:type="dxa"/>
            <w:tcBorders>
              <w:top w:val="single" w:sz="4" w:space="0" w:color="000000"/>
              <w:left w:val="single" w:sz="4" w:space="0" w:color="000000"/>
              <w:bottom w:val="single" w:sz="4" w:space="0" w:color="000000"/>
            </w:tcBorders>
          </w:tcPr>
          <w:p w14:paraId="295F7979" w14:textId="29E51F41" w:rsidR="00E974D0" w:rsidRDefault="00E974D0" w:rsidP="002134C9">
            <w:pPr>
              <w:pStyle w:val="TableParagraph"/>
              <w:ind w:left="124"/>
            </w:pPr>
            <w:r>
              <w:t>Algebra 1 Retake</w:t>
            </w:r>
          </w:p>
        </w:tc>
      </w:tr>
    </w:tbl>
    <w:p w14:paraId="7EA61E5C" w14:textId="77777777" w:rsidR="00786ECC" w:rsidRPr="002134C9" w:rsidRDefault="00786ECC" w:rsidP="00C5534C">
      <w:pPr>
        <w:rPr>
          <w:rFonts w:ascii="Arial" w:hAnsi="Arial" w:cs="Arial"/>
          <w:b/>
          <w:color w:val="00B050"/>
        </w:rPr>
      </w:pPr>
    </w:p>
    <w:p w14:paraId="45E7B638" w14:textId="77777777" w:rsidR="004E5360" w:rsidRDefault="006443AD" w:rsidP="00786ECC">
      <w:pPr>
        <w:ind w:left="360"/>
        <w:jc w:val="center"/>
        <w:rPr>
          <w:rFonts w:ascii="Arial" w:hAnsi="Arial" w:cs="Arial"/>
          <w:b/>
          <w:color w:val="00B050"/>
          <w:sz w:val="144"/>
          <w:szCs w:val="144"/>
        </w:rPr>
      </w:pPr>
      <w:r>
        <w:rPr>
          <w:noProof/>
        </w:rPr>
        <w:drawing>
          <wp:inline distT="0" distB="0" distL="0" distR="0" wp14:anchorId="7AEAFAC2" wp14:editId="6E5D71A6">
            <wp:extent cx="2308860" cy="499110"/>
            <wp:effectExtent l="0" t="0" r="0" b="0"/>
            <wp:docPr id="1" name="Picture 1" descr="Image result for fsa e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sa e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8860" cy="499110"/>
                    </a:xfrm>
                    <a:prstGeom prst="rect">
                      <a:avLst/>
                    </a:prstGeom>
                    <a:noFill/>
                    <a:ln>
                      <a:noFill/>
                    </a:ln>
                  </pic:spPr>
                </pic:pic>
              </a:graphicData>
            </a:graphic>
          </wp:inline>
        </w:drawing>
      </w:r>
    </w:p>
    <w:p w14:paraId="6546537D" w14:textId="77777777" w:rsidR="00AD3812" w:rsidRPr="00AD3812" w:rsidRDefault="00AD3812" w:rsidP="00786ECC">
      <w:pPr>
        <w:ind w:left="360"/>
        <w:jc w:val="center"/>
        <w:rPr>
          <w:rFonts w:ascii="Arial" w:hAnsi="Arial" w:cs="Arial"/>
          <w:b/>
          <w:color w:val="00B050"/>
        </w:rPr>
      </w:pPr>
    </w:p>
    <w:p w14:paraId="7EB484E6" w14:textId="267428D9" w:rsidR="00E974D0" w:rsidRPr="005E5E3A" w:rsidRDefault="00AD3812" w:rsidP="005E5E3A">
      <w:pPr>
        <w:pStyle w:val="BodyText"/>
        <w:jc w:val="both"/>
        <w:rPr>
          <w:rFonts w:cs="Arial"/>
          <w:sz w:val="24"/>
          <w:szCs w:val="24"/>
        </w:rPr>
      </w:pPr>
      <w:r w:rsidRPr="00AD3812">
        <w:rPr>
          <w:rFonts w:cs="Arial"/>
          <w:sz w:val="24"/>
          <w:szCs w:val="24"/>
        </w:rPr>
        <w:t>Beginning in 2014-15, assessments aligned to the Florida Standards replaced assessments aligned to the Next Generation Sunshine State Standards in mathematics</w:t>
      </w:r>
      <w:r w:rsidR="0025561D">
        <w:rPr>
          <w:rFonts w:cs="Arial"/>
          <w:sz w:val="24"/>
          <w:szCs w:val="24"/>
        </w:rPr>
        <w:t>.</w:t>
      </w:r>
      <w:r w:rsidRPr="00AD3812">
        <w:rPr>
          <w:rFonts w:cs="Arial"/>
          <w:sz w:val="24"/>
          <w:szCs w:val="24"/>
        </w:rPr>
        <w:t xml:space="preserve"> The NGSSS Algebra 1 and Geometry assessments were replaced by Florida Standards Assessments (FSA) in these subjects. Th</w:t>
      </w:r>
      <w:r w:rsidR="0025561D">
        <w:rPr>
          <w:rFonts w:cs="Arial"/>
          <w:sz w:val="24"/>
          <w:szCs w:val="24"/>
        </w:rPr>
        <w:t>e NGSSS Algebra 1 Retake EOC will be</w:t>
      </w:r>
      <w:r w:rsidRPr="00AD3812">
        <w:rPr>
          <w:rFonts w:cs="Arial"/>
          <w:sz w:val="24"/>
          <w:szCs w:val="24"/>
        </w:rPr>
        <w:t xml:space="preserve"> administered for the final time in Summer 2017. All students completing applicable Algebra 1 or Geometry courses in 2014-15 and beyond will take the FSA End-of-Course </w:t>
      </w:r>
      <w:r w:rsidR="00C47FAD" w:rsidRPr="00AD3812">
        <w:rPr>
          <w:rFonts w:cs="Arial"/>
          <w:sz w:val="24"/>
          <w:szCs w:val="24"/>
        </w:rPr>
        <w:t>Assessment.</w:t>
      </w:r>
      <w:r w:rsidR="00C47FAD" w:rsidRPr="00C47FAD">
        <w:rPr>
          <w:rFonts w:cs="Arial"/>
          <w:sz w:val="24"/>
          <w:szCs w:val="24"/>
        </w:rPr>
        <w:t xml:space="preserve"> The science and social studies NGSSS-aligned EOC assessments – Biology 1, and U.S. History – will continue to be administered for students completing applicable courses.</w:t>
      </w:r>
    </w:p>
    <w:p w14:paraId="78BA68FE" w14:textId="77777777" w:rsidR="00786ECC" w:rsidRPr="00786ECC" w:rsidRDefault="00786ECC" w:rsidP="00786ECC">
      <w:pPr>
        <w:pStyle w:val="BodyText"/>
        <w:spacing w:line="468" w:lineRule="exact"/>
        <w:jc w:val="center"/>
        <w:rPr>
          <w:rFonts w:cs="Arial"/>
          <w:b/>
          <w:sz w:val="24"/>
          <w:szCs w:val="24"/>
        </w:rPr>
      </w:pPr>
      <w:r w:rsidRPr="00786ECC">
        <w:rPr>
          <w:rFonts w:cs="Arial"/>
          <w:b/>
          <w:sz w:val="24"/>
          <w:szCs w:val="24"/>
        </w:rPr>
        <w:t>FLORIDA STATEWIDE ASSESSMENT PROGRAM</w:t>
      </w:r>
    </w:p>
    <w:p w14:paraId="225AE344" w14:textId="3B791451" w:rsidR="004E5360" w:rsidRPr="00D52C1A" w:rsidRDefault="00786ECC" w:rsidP="00786ECC">
      <w:pPr>
        <w:ind w:left="360"/>
        <w:jc w:val="center"/>
        <w:rPr>
          <w:rFonts w:ascii="Arial" w:hAnsi="Arial" w:cs="Arial"/>
          <w:b/>
          <w:color w:val="00B050"/>
        </w:rPr>
      </w:pPr>
      <w:r w:rsidRPr="00786ECC">
        <w:rPr>
          <w:rFonts w:ascii="Arial" w:hAnsi="Arial" w:cs="Arial"/>
          <w:b/>
        </w:rPr>
        <w:t>20</w:t>
      </w:r>
      <w:r w:rsidR="00E974D0">
        <w:rPr>
          <w:rFonts w:ascii="Arial" w:hAnsi="Arial" w:cs="Arial"/>
          <w:b/>
        </w:rPr>
        <w:t>20</w:t>
      </w:r>
      <w:r w:rsidRPr="00786ECC">
        <w:rPr>
          <w:rFonts w:ascii="Arial" w:hAnsi="Arial" w:cs="Arial"/>
          <w:b/>
        </w:rPr>
        <w:t>–20</w:t>
      </w:r>
      <w:r w:rsidR="00E974D0">
        <w:rPr>
          <w:rFonts w:ascii="Arial" w:hAnsi="Arial" w:cs="Arial"/>
          <w:b/>
        </w:rPr>
        <w:t>21</w:t>
      </w:r>
      <w:r w:rsidRPr="00786ECC">
        <w:rPr>
          <w:rFonts w:ascii="Arial" w:hAnsi="Arial" w:cs="Arial"/>
          <w:b/>
        </w:rPr>
        <w:t xml:space="preserve"> SCHEDULE</w:t>
      </w:r>
      <w:r w:rsidR="006443AD" w:rsidRPr="006443AD">
        <w:rPr>
          <w:rFonts w:ascii="Arial" w:hAnsi="Arial" w:cs="Arial"/>
          <w:b/>
          <w:color w:val="00B050"/>
          <w:sz w:val="144"/>
          <w:szCs w:val="144"/>
        </w:rPr>
        <w:t xml:space="preserve">  </w:t>
      </w:r>
    </w:p>
    <w:tbl>
      <w:tblPr>
        <w:tblW w:w="1005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96"/>
        <w:gridCol w:w="6660"/>
      </w:tblGrid>
      <w:tr w:rsidR="004E5360" w14:paraId="4D9F06CA" w14:textId="77777777" w:rsidTr="00D52C1A">
        <w:trPr>
          <w:trHeight w:val="646"/>
          <w:jc w:val="center"/>
        </w:trPr>
        <w:tc>
          <w:tcPr>
            <w:tcW w:w="10056" w:type="dxa"/>
            <w:gridSpan w:val="2"/>
            <w:tcBorders>
              <w:bottom w:val="single" w:sz="12" w:space="0" w:color="000000"/>
            </w:tcBorders>
            <w:shd w:val="clear" w:color="auto" w:fill="1F1C52"/>
          </w:tcPr>
          <w:p w14:paraId="13CD7F72" w14:textId="77777777" w:rsidR="004E5360" w:rsidRDefault="004E5360" w:rsidP="00F72F98">
            <w:pPr>
              <w:pStyle w:val="TableParagraph"/>
              <w:spacing w:before="5" w:line="622" w:lineRule="exact"/>
              <w:ind w:left="20"/>
              <w:rPr>
                <w:b/>
                <w:sz w:val="32"/>
              </w:rPr>
            </w:pPr>
            <w:r>
              <w:rPr>
                <w:noProof/>
                <w:position w:val="-9"/>
              </w:rPr>
              <w:drawing>
                <wp:inline distT="0" distB="0" distL="0" distR="0" wp14:anchorId="38295B9E" wp14:editId="25AC94AA">
                  <wp:extent cx="1107059" cy="405129"/>
                  <wp:effectExtent l="0" t="0" r="0" b="0"/>
                  <wp:docPr id="21" name="image1.jpeg" descr="Florida Standards Assess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107059" cy="405129"/>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color w:val="FFFFFF"/>
                <w:sz w:val="32"/>
              </w:rPr>
              <w:t>Florida Standards Assessments</w:t>
            </w:r>
            <w:r>
              <w:rPr>
                <w:b/>
                <w:color w:val="FFFFFF"/>
                <w:spacing w:val="-3"/>
                <w:sz w:val="32"/>
              </w:rPr>
              <w:t xml:space="preserve"> </w:t>
            </w:r>
            <w:r>
              <w:rPr>
                <w:b/>
                <w:color w:val="FFFFFF"/>
                <w:sz w:val="32"/>
              </w:rPr>
              <w:t>(FSA)</w:t>
            </w:r>
          </w:p>
        </w:tc>
      </w:tr>
      <w:tr w:rsidR="004E5360" w14:paraId="339D95A3" w14:textId="77777777" w:rsidTr="00D52C1A">
        <w:trPr>
          <w:trHeight w:val="240"/>
          <w:jc w:val="center"/>
        </w:trPr>
        <w:tc>
          <w:tcPr>
            <w:tcW w:w="10056" w:type="dxa"/>
            <w:gridSpan w:val="2"/>
            <w:tcBorders>
              <w:top w:val="single" w:sz="12" w:space="0" w:color="000000"/>
              <w:bottom w:val="single" w:sz="12" w:space="0" w:color="000000"/>
            </w:tcBorders>
            <w:shd w:val="clear" w:color="auto" w:fill="DBAB27"/>
          </w:tcPr>
          <w:p w14:paraId="68D44D12" w14:textId="77777777" w:rsidR="004E5360" w:rsidRDefault="004E5360" w:rsidP="00F72F98">
            <w:pPr>
              <w:pStyle w:val="TableParagraph"/>
              <w:spacing w:line="282" w:lineRule="exact"/>
              <w:ind w:left="3423" w:right="3383"/>
              <w:jc w:val="center"/>
              <w:rPr>
                <w:b/>
                <w:sz w:val="24"/>
              </w:rPr>
            </w:pPr>
            <w:r>
              <w:rPr>
                <w:b/>
                <w:sz w:val="24"/>
              </w:rPr>
              <w:t>FSA End-of-Course Assessments</w:t>
            </w:r>
          </w:p>
        </w:tc>
      </w:tr>
      <w:tr w:rsidR="004E5360" w14:paraId="2F179A7F" w14:textId="77777777" w:rsidTr="00D52C1A">
        <w:trPr>
          <w:trHeight w:val="267"/>
          <w:jc w:val="center"/>
        </w:trPr>
        <w:tc>
          <w:tcPr>
            <w:tcW w:w="3396" w:type="dxa"/>
            <w:tcBorders>
              <w:top w:val="single" w:sz="12" w:space="0" w:color="000000"/>
              <w:bottom w:val="single" w:sz="4" w:space="0" w:color="000000"/>
              <w:right w:val="single" w:sz="4" w:space="0" w:color="000000"/>
            </w:tcBorders>
            <w:shd w:val="clear" w:color="auto" w:fill="1F1C52"/>
          </w:tcPr>
          <w:p w14:paraId="3F826FD9" w14:textId="77777777" w:rsidR="004E5360" w:rsidRDefault="004E5360" w:rsidP="00F72F98">
            <w:pPr>
              <w:pStyle w:val="TableParagraph"/>
              <w:spacing w:line="248" w:lineRule="exact"/>
              <w:rPr>
                <w:b/>
              </w:rPr>
            </w:pPr>
            <w:r>
              <w:rPr>
                <w:b/>
                <w:color w:val="FFFFFF"/>
              </w:rPr>
              <w:t>Dates</w:t>
            </w:r>
          </w:p>
        </w:tc>
        <w:tc>
          <w:tcPr>
            <w:tcW w:w="6660" w:type="dxa"/>
            <w:tcBorders>
              <w:top w:val="single" w:sz="12" w:space="0" w:color="000000"/>
              <w:left w:val="single" w:sz="4" w:space="0" w:color="000000"/>
              <w:bottom w:val="single" w:sz="4" w:space="0" w:color="000000"/>
            </w:tcBorders>
            <w:shd w:val="clear" w:color="auto" w:fill="1F1C52"/>
          </w:tcPr>
          <w:p w14:paraId="0A09A550" w14:textId="77777777" w:rsidR="004E5360" w:rsidRDefault="004E5360" w:rsidP="00F72F98">
            <w:pPr>
              <w:pStyle w:val="TableParagraph"/>
              <w:spacing w:line="248" w:lineRule="exact"/>
              <w:ind w:left="124"/>
              <w:rPr>
                <w:b/>
              </w:rPr>
            </w:pPr>
            <w:r>
              <w:rPr>
                <w:b/>
                <w:color w:val="FFFFFF"/>
              </w:rPr>
              <w:t>Assessment</w:t>
            </w:r>
          </w:p>
        </w:tc>
      </w:tr>
      <w:tr w:rsidR="004E5360" w14:paraId="080233FD" w14:textId="77777777" w:rsidTr="00D52C1A">
        <w:trPr>
          <w:trHeight w:val="737"/>
          <w:jc w:val="center"/>
        </w:trPr>
        <w:tc>
          <w:tcPr>
            <w:tcW w:w="3396" w:type="dxa"/>
            <w:tcBorders>
              <w:top w:val="single" w:sz="4" w:space="0" w:color="000000"/>
              <w:right w:val="single" w:sz="4" w:space="0" w:color="000000"/>
            </w:tcBorders>
          </w:tcPr>
          <w:p w14:paraId="378EC8F6" w14:textId="392A384A" w:rsidR="004E5360" w:rsidRDefault="004E5360" w:rsidP="00F72F98">
            <w:pPr>
              <w:pStyle w:val="TableParagraph"/>
              <w:spacing w:line="265" w:lineRule="exact"/>
            </w:pPr>
            <w:r>
              <w:t>September 1</w:t>
            </w:r>
            <w:r w:rsidR="00E974D0">
              <w:t>4</w:t>
            </w:r>
            <w:r>
              <w:t xml:space="preserve">–October </w:t>
            </w:r>
            <w:r w:rsidR="00E974D0">
              <w:t>2</w:t>
            </w:r>
            <w:r>
              <w:t>, 20</w:t>
            </w:r>
            <w:r w:rsidR="00E974D0">
              <w:t>20</w:t>
            </w:r>
          </w:p>
          <w:p w14:paraId="7BC06280" w14:textId="00550128" w:rsidR="004E5360" w:rsidRDefault="004E5360" w:rsidP="00F72F98">
            <w:pPr>
              <w:pStyle w:val="TableParagraph"/>
            </w:pPr>
            <w:r>
              <w:t xml:space="preserve">November </w:t>
            </w:r>
            <w:r w:rsidR="00E974D0">
              <w:t>30</w:t>
            </w:r>
            <w:r>
              <w:t xml:space="preserve">–December </w:t>
            </w:r>
            <w:r w:rsidR="00E974D0">
              <w:t>18</w:t>
            </w:r>
            <w:r>
              <w:t>, 20</w:t>
            </w:r>
            <w:r w:rsidR="00E974D0">
              <w:t>20</w:t>
            </w:r>
          </w:p>
          <w:p w14:paraId="1E8FC03D" w14:textId="3D9FB779" w:rsidR="00E974D0" w:rsidRDefault="00E974D0" w:rsidP="00F72F98">
            <w:pPr>
              <w:pStyle w:val="TableParagraph"/>
            </w:pPr>
            <w:r>
              <w:t>May 3-28, 2021</w:t>
            </w:r>
          </w:p>
        </w:tc>
        <w:tc>
          <w:tcPr>
            <w:tcW w:w="6660" w:type="dxa"/>
            <w:tcBorders>
              <w:top w:val="single" w:sz="4" w:space="0" w:color="000000"/>
              <w:left w:val="single" w:sz="4" w:space="0" w:color="000000"/>
            </w:tcBorders>
          </w:tcPr>
          <w:p w14:paraId="0BCEA1D4" w14:textId="77777777" w:rsidR="005244BA" w:rsidRDefault="005244BA" w:rsidP="00F72F98">
            <w:pPr>
              <w:pStyle w:val="TableParagraph"/>
              <w:ind w:left="124"/>
            </w:pPr>
          </w:p>
          <w:p w14:paraId="1123084D" w14:textId="376F8972" w:rsidR="004E5360" w:rsidRDefault="004E5360" w:rsidP="00F72F98">
            <w:pPr>
              <w:pStyle w:val="TableParagraph"/>
              <w:ind w:left="124"/>
            </w:pPr>
            <w:r>
              <w:t>Algebra 1</w:t>
            </w:r>
            <w:r w:rsidR="00E974D0">
              <w:t xml:space="preserve">, </w:t>
            </w:r>
            <w:r>
              <w:t>Geometry</w:t>
            </w:r>
          </w:p>
        </w:tc>
      </w:tr>
      <w:tr w:rsidR="004E5360" w14:paraId="765319F4" w14:textId="77777777" w:rsidTr="00D52C1A">
        <w:trPr>
          <w:trHeight w:val="216"/>
          <w:jc w:val="center"/>
        </w:trPr>
        <w:tc>
          <w:tcPr>
            <w:tcW w:w="10056" w:type="dxa"/>
            <w:gridSpan w:val="2"/>
            <w:tcBorders>
              <w:bottom w:val="single" w:sz="12" w:space="0" w:color="000000"/>
            </w:tcBorders>
            <w:shd w:val="clear" w:color="auto" w:fill="DBAB27"/>
          </w:tcPr>
          <w:p w14:paraId="5791255C" w14:textId="77777777" w:rsidR="004E5360" w:rsidRDefault="004E5360" w:rsidP="00F72F98">
            <w:pPr>
              <w:pStyle w:val="TableParagraph"/>
              <w:spacing w:line="273" w:lineRule="exact"/>
              <w:ind w:left="3422" w:right="3383"/>
              <w:jc w:val="center"/>
              <w:rPr>
                <w:b/>
                <w:sz w:val="24"/>
              </w:rPr>
            </w:pPr>
            <w:r>
              <w:rPr>
                <w:b/>
                <w:sz w:val="24"/>
              </w:rPr>
              <w:t xml:space="preserve">FSA </w:t>
            </w:r>
            <w:r w:rsidR="00336207">
              <w:rPr>
                <w:b/>
                <w:sz w:val="24"/>
              </w:rPr>
              <w:t xml:space="preserve">End-of-Course </w:t>
            </w:r>
            <w:r>
              <w:rPr>
                <w:b/>
                <w:sz w:val="24"/>
              </w:rPr>
              <w:t>Retakes</w:t>
            </w:r>
          </w:p>
        </w:tc>
      </w:tr>
      <w:tr w:rsidR="004E5360" w14:paraId="5F878822" w14:textId="77777777" w:rsidTr="00D52C1A">
        <w:trPr>
          <w:trHeight w:val="267"/>
          <w:jc w:val="center"/>
        </w:trPr>
        <w:tc>
          <w:tcPr>
            <w:tcW w:w="3396" w:type="dxa"/>
            <w:tcBorders>
              <w:top w:val="single" w:sz="12" w:space="0" w:color="000000"/>
              <w:bottom w:val="single" w:sz="4" w:space="0" w:color="000000"/>
              <w:right w:val="single" w:sz="4" w:space="0" w:color="000000"/>
            </w:tcBorders>
            <w:shd w:val="clear" w:color="auto" w:fill="1F1C52"/>
          </w:tcPr>
          <w:p w14:paraId="6D17962E" w14:textId="77777777" w:rsidR="004E5360" w:rsidRDefault="004E5360" w:rsidP="00F72F98">
            <w:pPr>
              <w:pStyle w:val="TableParagraph"/>
              <w:spacing w:line="248" w:lineRule="exact"/>
              <w:rPr>
                <w:b/>
              </w:rPr>
            </w:pPr>
            <w:r>
              <w:rPr>
                <w:b/>
                <w:color w:val="FFFFFF"/>
              </w:rPr>
              <w:t>Dates</w:t>
            </w:r>
          </w:p>
        </w:tc>
        <w:tc>
          <w:tcPr>
            <w:tcW w:w="6660" w:type="dxa"/>
            <w:tcBorders>
              <w:top w:val="single" w:sz="12" w:space="0" w:color="000000"/>
              <w:left w:val="single" w:sz="4" w:space="0" w:color="000000"/>
              <w:bottom w:val="single" w:sz="4" w:space="0" w:color="000000"/>
            </w:tcBorders>
            <w:shd w:val="clear" w:color="auto" w:fill="1F1C52"/>
          </w:tcPr>
          <w:p w14:paraId="3CE95C52" w14:textId="77777777" w:rsidR="004E5360" w:rsidRDefault="004E5360" w:rsidP="00F72F98">
            <w:pPr>
              <w:pStyle w:val="TableParagraph"/>
              <w:spacing w:line="248" w:lineRule="exact"/>
              <w:ind w:left="124"/>
              <w:rPr>
                <w:b/>
              </w:rPr>
            </w:pPr>
            <w:r>
              <w:rPr>
                <w:b/>
                <w:color w:val="FFFFFF"/>
              </w:rPr>
              <w:t>Assessment</w:t>
            </w:r>
          </w:p>
        </w:tc>
      </w:tr>
      <w:tr w:rsidR="004E5360" w14:paraId="3FEC7D8B" w14:textId="77777777" w:rsidTr="00D52C1A">
        <w:trPr>
          <w:trHeight w:val="314"/>
          <w:jc w:val="center"/>
        </w:trPr>
        <w:tc>
          <w:tcPr>
            <w:tcW w:w="3396" w:type="dxa"/>
            <w:tcBorders>
              <w:top w:val="single" w:sz="4" w:space="0" w:color="000000"/>
              <w:bottom w:val="double" w:sz="6" w:space="0" w:color="000000"/>
              <w:right w:val="single" w:sz="4" w:space="0" w:color="000000"/>
            </w:tcBorders>
          </w:tcPr>
          <w:p w14:paraId="6D7E7217" w14:textId="4AA82B62" w:rsidR="004E5360" w:rsidRDefault="00E974D0" w:rsidP="00F72F98">
            <w:pPr>
              <w:pStyle w:val="TableParagraph"/>
            </w:pPr>
            <w:r>
              <w:t>February 22-March 12, 2021</w:t>
            </w:r>
          </w:p>
        </w:tc>
        <w:tc>
          <w:tcPr>
            <w:tcW w:w="6660" w:type="dxa"/>
            <w:tcBorders>
              <w:top w:val="single" w:sz="4" w:space="0" w:color="000000"/>
              <w:left w:val="single" w:sz="4" w:space="0" w:color="000000"/>
              <w:bottom w:val="double" w:sz="6" w:space="0" w:color="000000"/>
            </w:tcBorders>
          </w:tcPr>
          <w:p w14:paraId="26EBD238" w14:textId="77777777" w:rsidR="004E5360" w:rsidRDefault="004E5360" w:rsidP="00F72F98">
            <w:pPr>
              <w:pStyle w:val="TableParagraph"/>
              <w:spacing w:line="250" w:lineRule="exact"/>
              <w:ind w:left="124"/>
            </w:pPr>
            <w:r>
              <w:t>Algebra 1 Retake</w:t>
            </w:r>
          </w:p>
        </w:tc>
      </w:tr>
    </w:tbl>
    <w:p w14:paraId="2C5AEFA2" w14:textId="77777777" w:rsidR="0025561D" w:rsidRDefault="0025561D" w:rsidP="00E974D0"/>
    <w:p w14:paraId="37A7E455" w14:textId="77777777" w:rsidR="00786ECC" w:rsidRPr="00786ECC" w:rsidRDefault="00786ECC" w:rsidP="00786ECC">
      <w:pPr>
        <w:pStyle w:val="BodyText"/>
        <w:spacing w:line="468" w:lineRule="exact"/>
        <w:jc w:val="center"/>
        <w:rPr>
          <w:rFonts w:cs="Arial"/>
          <w:b/>
          <w:sz w:val="24"/>
          <w:szCs w:val="24"/>
        </w:rPr>
      </w:pPr>
      <w:r w:rsidRPr="00786ECC">
        <w:rPr>
          <w:rFonts w:cs="Arial"/>
          <w:b/>
          <w:sz w:val="24"/>
          <w:szCs w:val="24"/>
        </w:rPr>
        <w:t>FLORIDA STATEWIDE ASSESSMENT PROGRAM</w:t>
      </w:r>
    </w:p>
    <w:p w14:paraId="7F48C442" w14:textId="514FC780" w:rsidR="00786ECC" w:rsidRPr="00786ECC" w:rsidRDefault="00786ECC" w:rsidP="005E5E3A">
      <w:pPr>
        <w:ind w:left="360"/>
        <w:jc w:val="center"/>
        <w:rPr>
          <w:rFonts w:ascii="Arial" w:hAnsi="Arial" w:cs="Arial"/>
          <w:b/>
          <w:color w:val="00B050"/>
        </w:rPr>
      </w:pPr>
      <w:r w:rsidRPr="00786ECC">
        <w:rPr>
          <w:rFonts w:ascii="Arial" w:hAnsi="Arial" w:cs="Arial"/>
          <w:b/>
        </w:rPr>
        <w:t>20</w:t>
      </w:r>
      <w:r w:rsidR="005E5E3A">
        <w:rPr>
          <w:rFonts w:ascii="Arial" w:hAnsi="Arial" w:cs="Arial"/>
          <w:b/>
        </w:rPr>
        <w:t>20</w:t>
      </w:r>
      <w:r w:rsidRPr="00786ECC">
        <w:rPr>
          <w:rFonts w:ascii="Arial" w:hAnsi="Arial" w:cs="Arial"/>
          <w:b/>
        </w:rPr>
        <w:t>–20</w:t>
      </w:r>
      <w:r w:rsidR="005E5E3A">
        <w:rPr>
          <w:rFonts w:ascii="Arial" w:hAnsi="Arial" w:cs="Arial"/>
          <w:b/>
        </w:rPr>
        <w:t>21</w:t>
      </w:r>
      <w:r w:rsidRPr="00786ECC">
        <w:rPr>
          <w:rFonts w:ascii="Arial" w:hAnsi="Arial" w:cs="Arial"/>
          <w:b/>
        </w:rPr>
        <w:t xml:space="preserve"> SCHEDULE</w:t>
      </w:r>
      <w:r w:rsidRPr="006443AD">
        <w:rPr>
          <w:rFonts w:ascii="Arial" w:hAnsi="Arial" w:cs="Arial"/>
          <w:b/>
          <w:color w:val="00B050"/>
          <w:sz w:val="144"/>
          <w:szCs w:val="144"/>
        </w:rPr>
        <w:t xml:space="preserve">  </w:t>
      </w:r>
    </w:p>
    <w:tbl>
      <w:tblPr>
        <w:tblW w:w="1005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87"/>
        <w:gridCol w:w="6569"/>
      </w:tblGrid>
      <w:tr w:rsidR="004E5360" w14:paraId="3B5202A2" w14:textId="77777777" w:rsidTr="00B54B48">
        <w:trPr>
          <w:trHeight w:val="441"/>
          <w:jc w:val="center"/>
        </w:trPr>
        <w:tc>
          <w:tcPr>
            <w:tcW w:w="10056" w:type="dxa"/>
            <w:gridSpan w:val="2"/>
            <w:tcBorders>
              <w:top w:val="double" w:sz="6" w:space="0" w:color="000000"/>
              <w:bottom w:val="single" w:sz="12" w:space="0" w:color="000000"/>
            </w:tcBorders>
            <w:shd w:val="clear" w:color="auto" w:fill="00689B"/>
          </w:tcPr>
          <w:p w14:paraId="259E0C7E" w14:textId="77777777" w:rsidR="004E5360" w:rsidRDefault="004E5360" w:rsidP="00F72F98">
            <w:pPr>
              <w:pStyle w:val="TableParagraph"/>
              <w:spacing w:line="380" w:lineRule="exact"/>
              <w:ind w:left="745"/>
              <w:rPr>
                <w:b/>
                <w:sz w:val="32"/>
              </w:rPr>
            </w:pPr>
            <w:r>
              <w:rPr>
                <w:b/>
                <w:color w:val="FFFFFF"/>
                <w:sz w:val="32"/>
              </w:rPr>
              <w:t>Next Generation Sunshine State Standards (NGSSS) Assessments</w:t>
            </w:r>
          </w:p>
        </w:tc>
      </w:tr>
      <w:tr w:rsidR="004E5360" w14:paraId="16D72EC3" w14:textId="77777777" w:rsidTr="00B54B48">
        <w:trPr>
          <w:trHeight w:val="231"/>
          <w:jc w:val="center"/>
        </w:trPr>
        <w:tc>
          <w:tcPr>
            <w:tcW w:w="10056" w:type="dxa"/>
            <w:gridSpan w:val="2"/>
            <w:tcBorders>
              <w:top w:val="single" w:sz="12" w:space="0" w:color="000000"/>
              <w:bottom w:val="single" w:sz="12" w:space="0" w:color="000000"/>
            </w:tcBorders>
            <w:shd w:val="clear" w:color="auto" w:fill="9BB73D"/>
          </w:tcPr>
          <w:p w14:paraId="543BD7EB" w14:textId="77777777" w:rsidR="004E5360" w:rsidRDefault="004E5360" w:rsidP="00F72F98">
            <w:pPr>
              <w:pStyle w:val="TableParagraph"/>
              <w:spacing w:line="287" w:lineRule="exact"/>
              <w:ind w:left="3423" w:right="3378"/>
              <w:jc w:val="center"/>
              <w:rPr>
                <w:b/>
                <w:sz w:val="24"/>
              </w:rPr>
            </w:pPr>
            <w:r>
              <w:rPr>
                <w:b/>
                <w:sz w:val="24"/>
              </w:rPr>
              <w:t>End-of-Course Assessments</w:t>
            </w:r>
          </w:p>
        </w:tc>
      </w:tr>
      <w:tr w:rsidR="004E5360" w14:paraId="4B8FEF8C" w14:textId="77777777" w:rsidTr="00B54B48">
        <w:trPr>
          <w:trHeight w:val="268"/>
          <w:jc w:val="center"/>
        </w:trPr>
        <w:tc>
          <w:tcPr>
            <w:tcW w:w="3487" w:type="dxa"/>
            <w:tcBorders>
              <w:top w:val="single" w:sz="12" w:space="0" w:color="000000"/>
              <w:bottom w:val="single" w:sz="4" w:space="0" w:color="000000"/>
              <w:right w:val="single" w:sz="4" w:space="0" w:color="000000"/>
            </w:tcBorders>
            <w:shd w:val="clear" w:color="auto" w:fill="00689B"/>
          </w:tcPr>
          <w:p w14:paraId="5829A0E4" w14:textId="77777777" w:rsidR="004E5360" w:rsidRDefault="004E5360" w:rsidP="00F72F98">
            <w:pPr>
              <w:pStyle w:val="TableParagraph"/>
              <w:spacing w:line="248" w:lineRule="exact"/>
              <w:rPr>
                <w:b/>
              </w:rPr>
            </w:pPr>
            <w:r>
              <w:rPr>
                <w:b/>
                <w:color w:val="FFFFFF"/>
              </w:rPr>
              <w:t>Dates</w:t>
            </w:r>
          </w:p>
        </w:tc>
        <w:tc>
          <w:tcPr>
            <w:tcW w:w="6569" w:type="dxa"/>
            <w:tcBorders>
              <w:top w:val="single" w:sz="12" w:space="0" w:color="000000"/>
              <w:left w:val="single" w:sz="4" w:space="0" w:color="000000"/>
              <w:bottom w:val="single" w:sz="4" w:space="0" w:color="000000"/>
            </w:tcBorders>
            <w:shd w:val="clear" w:color="auto" w:fill="00689B"/>
          </w:tcPr>
          <w:p w14:paraId="500E318E" w14:textId="77777777" w:rsidR="004E5360" w:rsidRDefault="004E5360" w:rsidP="00F72F98">
            <w:pPr>
              <w:pStyle w:val="TableParagraph"/>
              <w:spacing w:line="248" w:lineRule="exact"/>
              <w:ind w:left="124"/>
              <w:rPr>
                <w:b/>
              </w:rPr>
            </w:pPr>
            <w:r>
              <w:rPr>
                <w:b/>
                <w:color w:val="FFFFFF"/>
              </w:rPr>
              <w:t>Assessment</w:t>
            </w:r>
          </w:p>
        </w:tc>
      </w:tr>
      <w:tr w:rsidR="004E5360" w14:paraId="08BD8133" w14:textId="77777777" w:rsidTr="000F7399">
        <w:trPr>
          <w:trHeight w:val="764"/>
          <w:jc w:val="center"/>
        </w:trPr>
        <w:tc>
          <w:tcPr>
            <w:tcW w:w="3487" w:type="dxa"/>
            <w:tcBorders>
              <w:top w:val="single" w:sz="4" w:space="0" w:color="000000"/>
              <w:bottom w:val="double" w:sz="4" w:space="0" w:color="auto"/>
              <w:right w:val="single" w:sz="4" w:space="0" w:color="000000"/>
            </w:tcBorders>
          </w:tcPr>
          <w:p w14:paraId="161B97AC" w14:textId="77777777" w:rsidR="00E974D0" w:rsidRDefault="00E974D0" w:rsidP="00E974D0">
            <w:pPr>
              <w:pStyle w:val="TableParagraph"/>
              <w:spacing w:line="265" w:lineRule="exact"/>
            </w:pPr>
            <w:r>
              <w:t>September 14–October 2, 2020</w:t>
            </w:r>
          </w:p>
          <w:p w14:paraId="3B966140" w14:textId="77777777" w:rsidR="00E974D0" w:rsidRDefault="00E974D0" w:rsidP="00E974D0">
            <w:pPr>
              <w:pStyle w:val="TableParagraph"/>
            </w:pPr>
            <w:r>
              <w:t>November 30–December 18, 2020</w:t>
            </w:r>
          </w:p>
          <w:p w14:paraId="59506F38" w14:textId="131D9DD5" w:rsidR="004E5360" w:rsidRDefault="00E974D0" w:rsidP="00E974D0">
            <w:pPr>
              <w:pStyle w:val="TableParagraph"/>
              <w:spacing w:line="249" w:lineRule="exact"/>
            </w:pPr>
            <w:r>
              <w:t>May 3-28, 2021</w:t>
            </w:r>
          </w:p>
        </w:tc>
        <w:tc>
          <w:tcPr>
            <w:tcW w:w="6569" w:type="dxa"/>
            <w:tcBorders>
              <w:top w:val="single" w:sz="4" w:space="0" w:color="000000"/>
              <w:left w:val="single" w:sz="4" w:space="0" w:color="000000"/>
              <w:bottom w:val="double" w:sz="4" w:space="0" w:color="auto"/>
            </w:tcBorders>
          </w:tcPr>
          <w:p w14:paraId="7DC7A782" w14:textId="77777777" w:rsidR="004E5360" w:rsidRDefault="004E5360" w:rsidP="00F72F98">
            <w:pPr>
              <w:pStyle w:val="TableParagraph"/>
              <w:rPr>
                <w:rFonts w:ascii="Times New Roman"/>
              </w:rPr>
            </w:pPr>
          </w:p>
          <w:p w14:paraId="6F722334" w14:textId="42BF3343" w:rsidR="004E5360" w:rsidRDefault="004E5360" w:rsidP="00F72F98">
            <w:pPr>
              <w:pStyle w:val="TableParagraph"/>
              <w:ind w:left="124"/>
            </w:pPr>
            <w:r>
              <w:t>Biology 1, U.S. History</w:t>
            </w:r>
          </w:p>
        </w:tc>
      </w:tr>
    </w:tbl>
    <w:p w14:paraId="64B55F9F" w14:textId="45DA1CA8" w:rsidR="00145B08" w:rsidRPr="00145B08" w:rsidRDefault="00145B08" w:rsidP="00145B08">
      <w:pPr>
        <w:tabs>
          <w:tab w:val="left" w:pos="8475"/>
        </w:tabs>
        <w:rPr>
          <w:rFonts w:ascii="Arial" w:hAnsi="Arial" w:cs="Arial"/>
          <w:sz w:val="144"/>
          <w:szCs w:val="144"/>
        </w:rPr>
      </w:pPr>
    </w:p>
    <w:sectPr w:rsidR="00145B08" w:rsidRPr="00145B08" w:rsidSect="00F8443B">
      <w:headerReference w:type="default" r:id="rId1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DF08" w14:textId="77777777" w:rsidR="00373138" w:rsidRDefault="00373138" w:rsidP="0060765C">
      <w:r>
        <w:separator/>
      </w:r>
    </w:p>
  </w:endnote>
  <w:endnote w:type="continuationSeparator" w:id="0">
    <w:p w14:paraId="3B104378" w14:textId="77777777" w:rsidR="00373138" w:rsidRDefault="00373138" w:rsidP="0060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aux-n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AAB9" w14:textId="65524E1F" w:rsidR="0060765C" w:rsidRDefault="0060765C" w:rsidP="0060765C">
    <w:pPr>
      <w:pStyle w:val="Footer"/>
      <w:jc w:val="center"/>
      <w:rPr>
        <w:rFonts w:ascii="Arial" w:hAnsi="Arial" w:cs="Arial"/>
        <w:sz w:val="20"/>
        <w:szCs w:val="20"/>
      </w:rPr>
    </w:pPr>
    <w:proofErr w:type="spellStart"/>
    <w:r>
      <w:rPr>
        <w:rFonts w:ascii="Arial" w:hAnsi="Arial" w:cs="Arial"/>
        <w:sz w:val="20"/>
        <w:szCs w:val="20"/>
      </w:rPr>
      <w:t>SunEd</w:t>
    </w:r>
    <w:proofErr w:type="spellEnd"/>
    <w:r>
      <w:rPr>
        <w:rFonts w:ascii="Arial" w:hAnsi="Arial" w:cs="Arial"/>
        <w:sz w:val="20"/>
        <w:szCs w:val="20"/>
      </w:rPr>
      <w:t xml:space="preserve"> High of </w:t>
    </w:r>
    <w:r w:rsidR="00615797">
      <w:rPr>
        <w:rFonts w:ascii="Arial" w:hAnsi="Arial" w:cs="Arial"/>
        <w:sz w:val="20"/>
        <w:szCs w:val="20"/>
      </w:rPr>
      <w:t xml:space="preserve">North and South </w:t>
    </w:r>
    <w:r>
      <w:rPr>
        <w:rFonts w:ascii="Arial" w:hAnsi="Arial" w:cs="Arial"/>
        <w:sz w:val="20"/>
        <w:szCs w:val="20"/>
      </w:rPr>
      <w:t>Broward</w:t>
    </w:r>
  </w:p>
  <w:p w14:paraId="67968A8C" w14:textId="77777777" w:rsidR="0060765C" w:rsidRDefault="0060765C" w:rsidP="0060765C">
    <w:pPr>
      <w:pStyle w:val="Footer"/>
      <w:jc w:val="center"/>
      <w:rPr>
        <w:rFonts w:ascii="Arial" w:hAnsi="Arial" w:cs="Arial"/>
        <w:sz w:val="20"/>
        <w:szCs w:val="20"/>
      </w:rPr>
    </w:pPr>
    <w:r>
      <w:rPr>
        <w:rFonts w:ascii="Arial" w:hAnsi="Arial" w:cs="Arial"/>
        <w:sz w:val="20"/>
        <w:szCs w:val="20"/>
      </w:rPr>
      <w:t>www.SunEdHigh.com</w:t>
    </w:r>
  </w:p>
  <w:p w14:paraId="154E0C21" w14:textId="77777777" w:rsidR="0060765C" w:rsidRPr="0060765C" w:rsidRDefault="0060765C" w:rsidP="0060765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D6BF" w14:textId="77777777" w:rsidR="00373138" w:rsidRDefault="00373138" w:rsidP="0060765C">
      <w:r>
        <w:separator/>
      </w:r>
    </w:p>
  </w:footnote>
  <w:footnote w:type="continuationSeparator" w:id="0">
    <w:p w14:paraId="24BC80F6" w14:textId="77777777" w:rsidR="00373138" w:rsidRDefault="00373138" w:rsidP="0060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A941" w14:textId="77777777" w:rsidR="0060765C" w:rsidRDefault="0060765C" w:rsidP="0060765C">
    <w:pPr>
      <w:pStyle w:val="Header"/>
      <w:jc w:val="center"/>
    </w:pPr>
    <w:r>
      <w:rPr>
        <w:noProof/>
      </w:rPr>
      <w:drawing>
        <wp:inline distT="0" distB="0" distL="0" distR="0" wp14:anchorId="0F1AAE78" wp14:editId="196883A1">
          <wp:extent cx="1389380" cy="5237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Ed.jpg"/>
                  <pic:cNvPicPr/>
                </pic:nvPicPr>
                <pic:blipFill>
                  <a:blip r:embed="rId1">
                    <a:extLst>
                      <a:ext uri="{28A0092B-C50C-407E-A947-70E740481C1C}">
                        <a14:useLocalDpi xmlns:a14="http://schemas.microsoft.com/office/drawing/2010/main" val="0"/>
                      </a:ext>
                    </a:extLst>
                  </a:blip>
                  <a:stretch>
                    <a:fillRect/>
                  </a:stretch>
                </pic:blipFill>
                <pic:spPr>
                  <a:xfrm>
                    <a:off x="0" y="0"/>
                    <a:ext cx="1429800" cy="539031"/>
                  </a:xfrm>
                  <a:prstGeom prst="rect">
                    <a:avLst/>
                  </a:prstGeom>
                </pic:spPr>
              </pic:pic>
            </a:graphicData>
          </a:graphic>
        </wp:inline>
      </w:drawing>
    </w:r>
  </w:p>
  <w:p w14:paraId="0C9EE8D3" w14:textId="77777777" w:rsidR="0060765C" w:rsidRDefault="0060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tudy island plus logo" style="width:138pt;height:46.5pt;visibility:visible;mso-wrap-style:square" o:bullet="t">
        <v:imagedata r:id="rId1" o:title="Image result for study island plus logo"/>
      </v:shape>
    </w:pict>
  </w:numPicBullet>
  <w:numPicBullet w:numPicBulletId="1">
    <w:pict>
      <v:shape id="_x0000_i1027" type="#_x0000_t75" alt="Image result for florida assessment for instruction in reading" style="width:735pt;height:75pt;visibility:visible;mso-wrap-style:square" o:bullet="t">
        <v:imagedata r:id="rId2" o:title="Image result for florida assessment for instruction in reading"/>
      </v:shape>
    </w:pict>
  </w:numPicBullet>
  <w:numPicBullet w:numPicBulletId="2">
    <w:pict>
      <v:shape id="_x0000_i1028" type="#_x0000_t75" alt="Image result for fcat" style="width:48pt;height:21pt;visibility:visible;mso-wrap-style:square" o:bullet="t">
        <v:imagedata r:id="rId3" o:title="Image result for fcat"/>
      </v:shape>
    </w:pict>
  </w:numPicBullet>
  <w:numPicBullet w:numPicBulletId="3">
    <w:pict>
      <v:shape id="_x0000_i1029" type="#_x0000_t75" alt="Image result for fcat" style="width:16in;height:384pt;visibility:visible;mso-wrap-style:square" o:bullet="t">
        <v:imagedata r:id="rId4" o:title="Image result for fcat"/>
      </v:shape>
    </w:pict>
  </w:numPicBullet>
  <w:numPicBullet w:numPicBulletId="4">
    <w:pict>
      <v:shape id="_x0000_i1030" type="#_x0000_t75" alt="Image result for fsa" style="width:542.25pt;height:264.75pt;visibility:visible;mso-wrap-style:square" o:bullet="t">
        <v:imagedata r:id="rId5" o:title="Image result for fsa"/>
      </v:shape>
    </w:pict>
  </w:numPicBullet>
  <w:abstractNum w:abstractNumId="0" w15:restartNumberingAfterBreak="0">
    <w:nsid w:val="0326070C"/>
    <w:multiLevelType w:val="multilevel"/>
    <w:tmpl w:val="FF5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B6E8D"/>
    <w:multiLevelType w:val="hybridMultilevel"/>
    <w:tmpl w:val="D6900D84"/>
    <w:lvl w:ilvl="0" w:tplc="EC3C5A1E">
      <w:start w:val="1"/>
      <w:numFmt w:val="bullet"/>
      <w:lvlText w:val=""/>
      <w:lvlPicBulletId w:val="2"/>
      <w:lvlJc w:val="left"/>
      <w:pPr>
        <w:tabs>
          <w:tab w:val="num" w:pos="720"/>
        </w:tabs>
        <w:ind w:left="720" w:hanging="360"/>
      </w:pPr>
      <w:rPr>
        <w:rFonts w:ascii="Symbol" w:hAnsi="Symbol" w:hint="default"/>
      </w:rPr>
    </w:lvl>
    <w:lvl w:ilvl="1" w:tplc="96D01B80" w:tentative="1">
      <w:start w:val="1"/>
      <w:numFmt w:val="bullet"/>
      <w:lvlText w:val=""/>
      <w:lvlJc w:val="left"/>
      <w:pPr>
        <w:tabs>
          <w:tab w:val="num" w:pos="1440"/>
        </w:tabs>
        <w:ind w:left="1440" w:hanging="360"/>
      </w:pPr>
      <w:rPr>
        <w:rFonts w:ascii="Symbol" w:hAnsi="Symbol" w:hint="default"/>
      </w:rPr>
    </w:lvl>
    <w:lvl w:ilvl="2" w:tplc="4110621A" w:tentative="1">
      <w:start w:val="1"/>
      <w:numFmt w:val="bullet"/>
      <w:lvlText w:val=""/>
      <w:lvlJc w:val="left"/>
      <w:pPr>
        <w:tabs>
          <w:tab w:val="num" w:pos="2160"/>
        </w:tabs>
        <w:ind w:left="2160" w:hanging="360"/>
      </w:pPr>
      <w:rPr>
        <w:rFonts w:ascii="Symbol" w:hAnsi="Symbol" w:hint="default"/>
      </w:rPr>
    </w:lvl>
    <w:lvl w:ilvl="3" w:tplc="DF7415D2" w:tentative="1">
      <w:start w:val="1"/>
      <w:numFmt w:val="bullet"/>
      <w:lvlText w:val=""/>
      <w:lvlJc w:val="left"/>
      <w:pPr>
        <w:tabs>
          <w:tab w:val="num" w:pos="2880"/>
        </w:tabs>
        <w:ind w:left="2880" w:hanging="360"/>
      </w:pPr>
      <w:rPr>
        <w:rFonts w:ascii="Symbol" w:hAnsi="Symbol" w:hint="default"/>
      </w:rPr>
    </w:lvl>
    <w:lvl w:ilvl="4" w:tplc="5854F812" w:tentative="1">
      <w:start w:val="1"/>
      <w:numFmt w:val="bullet"/>
      <w:lvlText w:val=""/>
      <w:lvlJc w:val="left"/>
      <w:pPr>
        <w:tabs>
          <w:tab w:val="num" w:pos="3600"/>
        </w:tabs>
        <w:ind w:left="3600" w:hanging="360"/>
      </w:pPr>
      <w:rPr>
        <w:rFonts w:ascii="Symbol" w:hAnsi="Symbol" w:hint="default"/>
      </w:rPr>
    </w:lvl>
    <w:lvl w:ilvl="5" w:tplc="93ACD894" w:tentative="1">
      <w:start w:val="1"/>
      <w:numFmt w:val="bullet"/>
      <w:lvlText w:val=""/>
      <w:lvlJc w:val="left"/>
      <w:pPr>
        <w:tabs>
          <w:tab w:val="num" w:pos="4320"/>
        </w:tabs>
        <w:ind w:left="4320" w:hanging="360"/>
      </w:pPr>
      <w:rPr>
        <w:rFonts w:ascii="Symbol" w:hAnsi="Symbol" w:hint="default"/>
      </w:rPr>
    </w:lvl>
    <w:lvl w:ilvl="6" w:tplc="4EE629A6" w:tentative="1">
      <w:start w:val="1"/>
      <w:numFmt w:val="bullet"/>
      <w:lvlText w:val=""/>
      <w:lvlJc w:val="left"/>
      <w:pPr>
        <w:tabs>
          <w:tab w:val="num" w:pos="5040"/>
        </w:tabs>
        <w:ind w:left="5040" w:hanging="360"/>
      </w:pPr>
      <w:rPr>
        <w:rFonts w:ascii="Symbol" w:hAnsi="Symbol" w:hint="default"/>
      </w:rPr>
    </w:lvl>
    <w:lvl w:ilvl="7" w:tplc="4E1C1D2E" w:tentative="1">
      <w:start w:val="1"/>
      <w:numFmt w:val="bullet"/>
      <w:lvlText w:val=""/>
      <w:lvlJc w:val="left"/>
      <w:pPr>
        <w:tabs>
          <w:tab w:val="num" w:pos="5760"/>
        </w:tabs>
        <w:ind w:left="5760" w:hanging="360"/>
      </w:pPr>
      <w:rPr>
        <w:rFonts w:ascii="Symbol" w:hAnsi="Symbol" w:hint="default"/>
      </w:rPr>
    </w:lvl>
    <w:lvl w:ilvl="8" w:tplc="DAC44C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EA0425D"/>
    <w:multiLevelType w:val="multilevel"/>
    <w:tmpl w:val="407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718D4"/>
    <w:multiLevelType w:val="hybridMultilevel"/>
    <w:tmpl w:val="714A8FCC"/>
    <w:lvl w:ilvl="0" w:tplc="2C784D18">
      <w:start w:val="1"/>
      <w:numFmt w:val="bullet"/>
      <w:lvlText w:val=""/>
      <w:lvlPicBulletId w:val="4"/>
      <w:lvlJc w:val="left"/>
      <w:pPr>
        <w:tabs>
          <w:tab w:val="num" w:pos="720"/>
        </w:tabs>
        <w:ind w:left="720" w:hanging="360"/>
      </w:pPr>
      <w:rPr>
        <w:rFonts w:ascii="Symbol" w:hAnsi="Symbol" w:hint="default"/>
      </w:rPr>
    </w:lvl>
    <w:lvl w:ilvl="1" w:tplc="03760ED8" w:tentative="1">
      <w:start w:val="1"/>
      <w:numFmt w:val="bullet"/>
      <w:lvlText w:val=""/>
      <w:lvlJc w:val="left"/>
      <w:pPr>
        <w:tabs>
          <w:tab w:val="num" w:pos="1440"/>
        </w:tabs>
        <w:ind w:left="1440" w:hanging="360"/>
      </w:pPr>
      <w:rPr>
        <w:rFonts w:ascii="Symbol" w:hAnsi="Symbol" w:hint="default"/>
      </w:rPr>
    </w:lvl>
    <w:lvl w:ilvl="2" w:tplc="C2BA07B6" w:tentative="1">
      <w:start w:val="1"/>
      <w:numFmt w:val="bullet"/>
      <w:lvlText w:val=""/>
      <w:lvlJc w:val="left"/>
      <w:pPr>
        <w:tabs>
          <w:tab w:val="num" w:pos="2160"/>
        </w:tabs>
        <w:ind w:left="2160" w:hanging="360"/>
      </w:pPr>
      <w:rPr>
        <w:rFonts w:ascii="Symbol" w:hAnsi="Symbol" w:hint="default"/>
      </w:rPr>
    </w:lvl>
    <w:lvl w:ilvl="3" w:tplc="220ED7B8" w:tentative="1">
      <w:start w:val="1"/>
      <w:numFmt w:val="bullet"/>
      <w:lvlText w:val=""/>
      <w:lvlJc w:val="left"/>
      <w:pPr>
        <w:tabs>
          <w:tab w:val="num" w:pos="2880"/>
        </w:tabs>
        <w:ind w:left="2880" w:hanging="360"/>
      </w:pPr>
      <w:rPr>
        <w:rFonts w:ascii="Symbol" w:hAnsi="Symbol" w:hint="default"/>
      </w:rPr>
    </w:lvl>
    <w:lvl w:ilvl="4" w:tplc="458A1CB0" w:tentative="1">
      <w:start w:val="1"/>
      <w:numFmt w:val="bullet"/>
      <w:lvlText w:val=""/>
      <w:lvlJc w:val="left"/>
      <w:pPr>
        <w:tabs>
          <w:tab w:val="num" w:pos="3600"/>
        </w:tabs>
        <w:ind w:left="3600" w:hanging="360"/>
      </w:pPr>
      <w:rPr>
        <w:rFonts w:ascii="Symbol" w:hAnsi="Symbol" w:hint="default"/>
      </w:rPr>
    </w:lvl>
    <w:lvl w:ilvl="5" w:tplc="02A4B440" w:tentative="1">
      <w:start w:val="1"/>
      <w:numFmt w:val="bullet"/>
      <w:lvlText w:val=""/>
      <w:lvlJc w:val="left"/>
      <w:pPr>
        <w:tabs>
          <w:tab w:val="num" w:pos="4320"/>
        </w:tabs>
        <w:ind w:left="4320" w:hanging="360"/>
      </w:pPr>
      <w:rPr>
        <w:rFonts w:ascii="Symbol" w:hAnsi="Symbol" w:hint="default"/>
      </w:rPr>
    </w:lvl>
    <w:lvl w:ilvl="6" w:tplc="AF2802B2" w:tentative="1">
      <w:start w:val="1"/>
      <w:numFmt w:val="bullet"/>
      <w:lvlText w:val=""/>
      <w:lvlJc w:val="left"/>
      <w:pPr>
        <w:tabs>
          <w:tab w:val="num" w:pos="5040"/>
        </w:tabs>
        <w:ind w:left="5040" w:hanging="360"/>
      </w:pPr>
      <w:rPr>
        <w:rFonts w:ascii="Symbol" w:hAnsi="Symbol" w:hint="default"/>
      </w:rPr>
    </w:lvl>
    <w:lvl w:ilvl="7" w:tplc="D668D032" w:tentative="1">
      <w:start w:val="1"/>
      <w:numFmt w:val="bullet"/>
      <w:lvlText w:val=""/>
      <w:lvlJc w:val="left"/>
      <w:pPr>
        <w:tabs>
          <w:tab w:val="num" w:pos="5760"/>
        </w:tabs>
        <w:ind w:left="5760" w:hanging="360"/>
      </w:pPr>
      <w:rPr>
        <w:rFonts w:ascii="Symbol" w:hAnsi="Symbol" w:hint="default"/>
      </w:rPr>
    </w:lvl>
    <w:lvl w:ilvl="8" w:tplc="885CB78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3B62C4"/>
    <w:multiLevelType w:val="multilevel"/>
    <w:tmpl w:val="A96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68EF"/>
    <w:multiLevelType w:val="multilevel"/>
    <w:tmpl w:val="EF1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77F8D"/>
    <w:multiLevelType w:val="multilevel"/>
    <w:tmpl w:val="4EE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7295E"/>
    <w:multiLevelType w:val="multilevel"/>
    <w:tmpl w:val="586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C37AC"/>
    <w:multiLevelType w:val="multilevel"/>
    <w:tmpl w:val="F0B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023E0"/>
    <w:multiLevelType w:val="hybridMultilevel"/>
    <w:tmpl w:val="F082579E"/>
    <w:lvl w:ilvl="0" w:tplc="B3CC41CE">
      <w:start w:val="1"/>
      <w:numFmt w:val="bullet"/>
      <w:lvlText w:val=""/>
      <w:lvlPicBulletId w:val="2"/>
      <w:lvlJc w:val="left"/>
      <w:pPr>
        <w:tabs>
          <w:tab w:val="num" w:pos="720"/>
        </w:tabs>
        <w:ind w:left="720" w:hanging="360"/>
      </w:pPr>
      <w:rPr>
        <w:rFonts w:ascii="Symbol" w:hAnsi="Symbol" w:hint="default"/>
      </w:rPr>
    </w:lvl>
    <w:lvl w:ilvl="1" w:tplc="EEEA2DA2" w:tentative="1">
      <w:start w:val="1"/>
      <w:numFmt w:val="bullet"/>
      <w:lvlText w:val=""/>
      <w:lvlJc w:val="left"/>
      <w:pPr>
        <w:tabs>
          <w:tab w:val="num" w:pos="1440"/>
        </w:tabs>
        <w:ind w:left="1440" w:hanging="360"/>
      </w:pPr>
      <w:rPr>
        <w:rFonts w:ascii="Symbol" w:hAnsi="Symbol" w:hint="default"/>
      </w:rPr>
    </w:lvl>
    <w:lvl w:ilvl="2" w:tplc="1DEC3852" w:tentative="1">
      <w:start w:val="1"/>
      <w:numFmt w:val="bullet"/>
      <w:lvlText w:val=""/>
      <w:lvlJc w:val="left"/>
      <w:pPr>
        <w:tabs>
          <w:tab w:val="num" w:pos="2160"/>
        </w:tabs>
        <w:ind w:left="2160" w:hanging="360"/>
      </w:pPr>
      <w:rPr>
        <w:rFonts w:ascii="Symbol" w:hAnsi="Symbol" w:hint="default"/>
      </w:rPr>
    </w:lvl>
    <w:lvl w:ilvl="3" w:tplc="2E40960A" w:tentative="1">
      <w:start w:val="1"/>
      <w:numFmt w:val="bullet"/>
      <w:lvlText w:val=""/>
      <w:lvlJc w:val="left"/>
      <w:pPr>
        <w:tabs>
          <w:tab w:val="num" w:pos="2880"/>
        </w:tabs>
        <w:ind w:left="2880" w:hanging="360"/>
      </w:pPr>
      <w:rPr>
        <w:rFonts w:ascii="Symbol" w:hAnsi="Symbol" w:hint="default"/>
      </w:rPr>
    </w:lvl>
    <w:lvl w:ilvl="4" w:tplc="705AB2D6" w:tentative="1">
      <w:start w:val="1"/>
      <w:numFmt w:val="bullet"/>
      <w:lvlText w:val=""/>
      <w:lvlJc w:val="left"/>
      <w:pPr>
        <w:tabs>
          <w:tab w:val="num" w:pos="3600"/>
        </w:tabs>
        <w:ind w:left="3600" w:hanging="360"/>
      </w:pPr>
      <w:rPr>
        <w:rFonts w:ascii="Symbol" w:hAnsi="Symbol" w:hint="default"/>
      </w:rPr>
    </w:lvl>
    <w:lvl w:ilvl="5" w:tplc="56B25268" w:tentative="1">
      <w:start w:val="1"/>
      <w:numFmt w:val="bullet"/>
      <w:lvlText w:val=""/>
      <w:lvlJc w:val="left"/>
      <w:pPr>
        <w:tabs>
          <w:tab w:val="num" w:pos="4320"/>
        </w:tabs>
        <w:ind w:left="4320" w:hanging="360"/>
      </w:pPr>
      <w:rPr>
        <w:rFonts w:ascii="Symbol" w:hAnsi="Symbol" w:hint="default"/>
      </w:rPr>
    </w:lvl>
    <w:lvl w:ilvl="6" w:tplc="D8D273B4" w:tentative="1">
      <w:start w:val="1"/>
      <w:numFmt w:val="bullet"/>
      <w:lvlText w:val=""/>
      <w:lvlJc w:val="left"/>
      <w:pPr>
        <w:tabs>
          <w:tab w:val="num" w:pos="5040"/>
        </w:tabs>
        <w:ind w:left="5040" w:hanging="360"/>
      </w:pPr>
      <w:rPr>
        <w:rFonts w:ascii="Symbol" w:hAnsi="Symbol" w:hint="default"/>
      </w:rPr>
    </w:lvl>
    <w:lvl w:ilvl="7" w:tplc="205CE07E" w:tentative="1">
      <w:start w:val="1"/>
      <w:numFmt w:val="bullet"/>
      <w:lvlText w:val=""/>
      <w:lvlJc w:val="left"/>
      <w:pPr>
        <w:tabs>
          <w:tab w:val="num" w:pos="5760"/>
        </w:tabs>
        <w:ind w:left="5760" w:hanging="360"/>
      </w:pPr>
      <w:rPr>
        <w:rFonts w:ascii="Symbol" w:hAnsi="Symbol" w:hint="default"/>
      </w:rPr>
    </w:lvl>
    <w:lvl w:ilvl="8" w:tplc="C7D60AA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113A9A"/>
    <w:multiLevelType w:val="hybridMultilevel"/>
    <w:tmpl w:val="AAD0773A"/>
    <w:lvl w:ilvl="0" w:tplc="D8249514">
      <w:start w:val="1"/>
      <w:numFmt w:val="upperRoman"/>
      <w:lvlText w:val="%1."/>
      <w:lvlJc w:val="left"/>
      <w:pPr>
        <w:ind w:left="838" w:hanging="72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7" w15:restartNumberingAfterBreak="0">
    <w:nsid w:val="69C31AC2"/>
    <w:multiLevelType w:val="hybridMultilevel"/>
    <w:tmpl w:val="60808FDC"/>
    <w:lvl w:ilvl="0" w:tplc="7242AC2A">
      <w:start w:val="1"/>
      <w:numFmt w:val="bullet"/>
      <w:lvlText w:val="-"/>
      <w:lvlJc w:val="left"/>
      <w:pPr>
        <w:ind w:left="4840" w:hanging="360"/>
      </w:pPr>
      <w:rPr>
        <w:rFonts w:ascii="Times New Roman" w:eastAsia="Times New Roman" w:hAnsi="Times New Roman" w:cs="Times New Roman" w:hint="default"/>
        <w:w w:val="100"/>
        <w:sz w:val="20"/>
        <w:szCs w:val="20"/>
      </w:rPr>
    </w:lvl>
    <w:lvl w:ilvl="1" w:tplc="320C46FA">
      <w:start w:val="1"/>
      <w:numFmt w:val="bullet"/>
      <w:lvlText w:val="•"/>
      <w:lvlJc w:val="left"/>
      <w:pPr>
        <w:ind w:left="5324" w:hanging="360"/>
      </w:pPr>
      <w:rPr>
        <w:rFonts w:hint="default"/>
      </w:rPr>
    </w:lvl>
    <w:lvl w:ilvl="2" w:tplc="4380DBF6">
      <w:start w:val="1"/>
      <w:numFmt w:val="bullet"/>
      <w:lvlText w:val="•"/>
      <w:lvlJc w:val="left"/>
      <w:pPr>
        <w:ind w:left="5808" w:hanging="360"/>
      </w:pPr>
      <w:rPr>
        <w:rFonts w:hint="default"/>
      </w:rPr>
    </w:lvl>
    <w:lvl w:ilvl="3" w:tplc="10F4C14E">
      <w:start w:val="1"/>
      <w:numFmt w:val="bullet"/>
      <w:lvlText w:val="•"/>
      <w:lvlJc w:val="left"/>
      <w:pPr>
        <w:ind w:left="6292" w:hanging="360"/>
      </w:pPr>
      <w:rPr>
        <w:rFonts w:hint="default"/>
      </w:rPr>
    </w:lvl>
    <w:lvl w:ilvl="4" w:tplc="3D5EC8A6">
      <w:start w:val="1"/>
      <w:numFmt w:val="bullet"/>
      <w:lvlText w:val="•"/>
      <w:lvlJc w:val="left"/>
      <w:pPr>
        <w:ind w:left="6776" w:hanging="360"/>
      </w:pPr>
      <w:rPr>
        <w:rFonts w:hint="default"/>
      </w:rPr>
    </w:lvl>
    <w:lvl w:ilvl="5" w:tplc="134A56C2">
      <w:start w:val="1"/>
      <w:numFmt w:val="bullet"/>
      <w:lvlText w:val="•"/>
      <w:lvlJc w:val="left"/>
      <w:pPr>
        <w:ind w:left="7260" w:hanging="360"/>
      </w:pPr>
      <w:rPr>
        <w:rFonts w:hint="default"/>
      </w:rPr>
    </w:lvl>
    <w:lvl w:ilvl="6" w:tplc="E7BA7572">
      <w:start w:val="1"/>
      <w:numFmt w:val="bullet"/>
      <w:lvlText w:val="•"/>
      <w:lvlJc w:val="left"/>
      <w:pPr>
        <w:ind w:left="7744" w:hanging="360"/>
      </w:pPr>
      <w:rPr>
        <w:rFonts w:hint="default"/>
      </w:rPr>
    </w:lvl>
    <w:lvl w:ilvl="7" w:tplc="34C86480">
      <w:start w:val="1"/>
      <w:numFmt w:val="bullet"/>
      <w:lvlText w:val="•"/>
      <w:lvlJc w:val="left"/>
      <w:pPr>
        <w:ind w:left="8228" w:hanging="360"/>
      </w:pPr>
      <w:rPr>
        <w:rFonts w:hint="default"/>
      </w:rPr>
    </w:lvl>
    <w:lvl w:ilvl="8" w:tplc="234690D2">
      <w:start w:val="1"/>
      <w:numFmt w:val="bullet"/>
      <w:lvlText w:val="•"/>
      <w:lvlJc w:val="left"/>
      <w:pPr>
        <w:ind w:left="8712" w:hanging="360"/>
      </w:pPr>
      <w:rPr>
        <w:rFonts w:hint="default"/>
      </w:rPr>
    </w:lvl>
  </w:abstractNum>
  <w:abstractNum w:abstractNumId="18" w15:restartNumberingAfterBreak="0">
    <w:nsid w:val="7350177C"/>
    <w:multiLevelType w:val="hybridMultilevel"/>
    <w:tmpl w:val="6A3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C2056"/>
    <w:multiLevelType w:val="hybridMultilevel"/>
    <w:tmpl w:val="74CAF17C"/>
    <w:lvl w:ilvl="0" w:tplc="A1A02338">
      <w:start w:val="1"/>
      <w:numFmt w:val="bullet"/>
      <w:lvlText w:val=""/>
      <w:lvlPicBulletId w:val="3"/>
      <w:lvlJc w:val="left"/>
      <w:pPr>
        <w:tabs>
          <w:tab w:val="num" w:pos="720"/>
        </w:tabs>
        <w:ind w:left="720" w:hanging="360"/>
      </w:pPr>
      <w:rPr>
        <w:rFonts w:ascii="Symbol" w:hAnsi="Symbol" w:hint="default"/>
      </w:rPr>
    </w:lvl>
    <w:lvl w:ilvl="1" w:tplc="88E65B52" w:tentative="1">
      <w:start w:val="1"/>
      <w:numFmt w:val="bullet"/>
      <w:lvlText w:val=""/>
      <w:lvlJc w:val="left"/>
      <w:pPr>
        <w:tabs>
          <w:tab w:val="num" w:pos="1440"/>
        </w:tabs>
        <w:ind w:left="1440" w:hanging="360"/>
      </w:pPr>
      <w:rPr>
        <w:rFonts w:ascii="Symbol" w:hAnsi="Symbol" w:hint="default"/>
      </w:rPr>
    </w:lvl>
    <w:lvl w:ilvl="2" w:tplc="CCB60CF8" w:tentative="1">
      <w:start w:val="1"/>
      <w:numFmt w:val="bullet"/>
      <w:lvlText w:val=""/>
      <w:lvlJc w:val="left"/>
      <w:pPr>
        <w:tabs>
          <w:tab w:val="num" w:pos="2160"/>
        </w:tabs>
        <w:ind w:left="2160" w:hanging="360"/>
      </w:pPr>
      <w:rPr>
        <w:rFonts w:ascii="Symbol" w:hAnsi="Symbol" w:hint="default"/>
      </w:rPr>
    </w:lvl>
    <w:lvl w:ilvl="3" w:tplc="FA5E9FE8" w:tentative="1">
      <w:start w:val="1"/>
      <w:numFmt w:val="bullet"/>
      <w:lvlText w:val=""/>
      <w:lvlJc w:val="left"/>
      <w:pPr>
        <w:tabs>
          <w:tab w:val="num" w:pos="2880"/>
        </w:tabs>
        <w:ind w:left="2880" w:hanging="360"/>
      </w:pPr>
      <w:rPr>
        <w:rFonts w:ascii="Symbol" w:hAnsi="Symbol" w:hint="default"/>
      </w:rPr>
    </w:lvl>
    <w:lvl w:ilvl="4" w:tplc="3828C4DC" w:tentative="1">
      <w:start w:val="1"/>
      <w:numFmt w:val="bullet"/>
      <w:lvlText w:val=""/>
      <w:lvlJc w:val="left"/>
      <w:pPr>
        <w:tabs>
          <w:tab w:val="num" w:pos="3600"/>
        </w:tabs>
        <w:ind w:left="3600" w:hanging="360"/>
      </w:pPr>
      <w:rPr>
        <w:rFonts w:ascii="Symbol" w:hAnsi="Symbol" w:hint="default"/>
      </w:rPr>
    </w:lvl>
    <w:lvl w:ilvl="5" w:tplc="C82CBF16" w:tentative="1">
      <w:start w:val="1"/>
      <w:numFmt w:val="bullet"/>
      <w:lvlText w:val=""/>
      <w:lvlJc w:val="left"/>
      <w:pPr>
        <w:tabs>
          <w:tab w:val="num" w:pos="4320"/>
        </w:tabs>
        <w:ind w:left="4320" w:hanging="360"/>
      </w:pPr>
      <w:rPr>
        <w:rFonts w:ascii="Symbol" w:hAnsi="Symbol" w:hint="default"/>
      </w:rPr>
    </w:lvl>
    <w:lvl w:ilvl="6" w:tplc="4B44F1AE" w:tentative="1">
      <w:start w:val="1"/>
      <w:numFmt w:val="bullet"/>
      <w:lvlText w:val=""/>
      <w:lvlJc w:val="left"/>
      <w:pPr>
        <w:tabs>
          <w:tab w:val="num" w:pos="5040"/>
        </w:tabs>
        <w:ind w:left="5040" w:hanging="360"/>
      </w:pPr>
      <w:rPr>
        <w:rFonts w:ascii="Symbol" w:hAnsi="Symbol" w:hint="default"/>
      </w:rPr>
    </w:lvl>
    <w:lvl w:ilvl="7" w:tplc="6368F860" w:tentative="1">
      <w:start w:val="1"/>
      <w:numFmt w:val="bullet"/>
      <w:lvlText w:val=""/>
      <w:lvlJc w:val="left"/>
      <w:pPr>
        <w:tabs>
          <w:tab w:val="num" w:pos="5760"/>
        </w:tabs>
        <w:ind w:left="5760" w:hanging="360"/>
      </w:pPr>
      <w:rPr>
        <w:rFonts w:ascii="Symbol" w:hAnsi="Symbol" w:hint="default"/>
      </w:rPr>
    </w:lvl>
    <w:lvl w:ilvl="8" w:tplc="0BD667C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C3F64"/>
    <w:multiLevelType w:val="multilevel"/>
    <w:tmpl w:val="2E2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14"/>
  </w:num>
  <w:num w:numId="5">
    <w:abstractNumId w:val="13"/>
  </w:num>
  <w:num w:numId="6">
    <w:abstractNumId w:val="9"/>
  </w:num>
  <w:num w:numId="7">
    <w:abstractNumId w:val="20"/>
  </w:num>
  <w:num w:numId="8">
    <w:abstractNumId w:val="16"/>
  </w:num>
  <w:num w:numId="9">
    <w:abstractNumId w:val="18"/>
  </w:num>
  <w:num w:numId="10">
    <w:abstractNumId w:val="0"/>
  </w:num>
  <w:num w:numId="11">
    <w:abstractNumId w:val="21"/>
  </w:num>
  <w:num w:numId="12">
    <w:abstractNumId w:val="17"/>
  </w:num>
  <w:num w:numId="13">
    <w:abstractNumId w:val="1"/>
  </w:num>
  <w:num w:numId="14">
    <w:abstractNumId w:val="19"/>
  </w:num>
  <w:num w:numId="15">
    <w:abstractNumId w:val="5"/>
  </w:num>
  <w:num w:numId="16">
    <w:abstractNumId w:val="12"/>
  </w:num>
  <w:num w:numId="17">
    <w:abstractNumId w:val="4"/>
  </w:num>
  <w:num w:numId="18">
    <w:abstractNumId w:val="10"/>
  </w:num>
  <w:num w:numId="19">
    <w:abstractNumId w:val="8"/>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DE"/>
    <w:rsid w:val="000059EC"/>
    <w:rsid w:val="00020FE1"/>
    <w:rsid w:val="00061233"/>
    <w:rsid w:val="00075CB4"/>
    <w:rsid w:val="000C20E2"/>
    <w:rsid w:val="000E4EAD"/>
    <w:rsid w:val="000F1109"/>
    <w:rsid w:val="000F2581"/>
    <w:rsid w:val="000F7399"/>
    <w:rsid w:val="00113378"/>
    <w:rsid w:val="00114707"/>
    <w:rsid w:val="00115167"/>
    <w:rsid w:val="00133526"/>
    <w:rsid w:val="00135693"/>
    <w:rsid w:val="00145B08"/>
    <w:rsid w:val="00162C34"/>
    <w:rsid w:val="00175292"/>
    <w:rsid w:val="00176B73"/>
    <w:rsid w:val="001843D5"/>
    <w:rsid w:val="0019627D"/>
    <w:rsid w:val="001C29CA"/>
    <w:rsid w:val="001C46BE"/>
    <w:rsid w:val="002134C9"/>
    <w:rsid w:val="002219CD"/>
    <w:rsid w:val="00236240"/>
    <w:rsid w:val="0025561D"/>
    <w:rsid w:val="002622DA"/>
    <w:rsid w:val="00271D94"/>
    <w:rsid w:val="00274F46"/>
    <w:rsid w:val="002B362A"/>
    <w:rsid w:val="00306041"/>
    <w:rsid w:val="00336207"/>
    <w:rsid w:val="00373138"/>
    <w:rsid w:val="0039393F"/>
    <w:rsid w:val="003C564C"/>
    <w:rsid w:val="004026DE"/>
    <w:rsid w:val="00414037"/>
    <w:rsid w:val="004501BC"/>
    <w:rsid w:val="004611C6"/>
    <w:rsid w:val="00462C2D"/>
    <w:rsid w:val="00466BC6"/>
    <w:rsid w:val="0049435C"/>
    <w:rsid w:val="004C39DE"/>
    <w:rsid w:val="004C3C9F"/>
    <w:rsid w:val="004E1183"/>
    <w:rsid w:val="004E42FF"/>
    <w:rsid w:val="004E5360"/>
    <w:rsid w:val="004F3B81"/>
    <w:rsid w:val="005050B7"/>
    <w:rsid w:val="005244BA"/>
    <w:rsid w:val="00547C98"/>
    <w:rsid w:val="005554C2"/>
    <w:rsid w:val="005561B6"/>
    <w:rsid w:val="00562C36"/>
    <w:rsid w:val="00563721"/>
    <w:rsid w:val="005644A4"/>
    <w:rsid w:val="0057520B"/>
    <w:rsid w:val="005832F9"/>
    <w:rsid w:val="00592A6A"/>
    <w:rsid w:val="005A3737"/>
    <w:rsid w:val="005A6959"/>
    <w:rsid w:val="005D5837"/>
    <w:rsid w:val="005D669E"/>
    <w:rsid w:val="005E5E3A"/>
    <w:rsid w:val="0060765C"/>
    <w:rsid w:val="00610037"/>
    <w:rsid w:val="00615797"/>
    <w:rsid w:val="0064213E"/>
    <w:rsid w:val="006443AD"/>
    <w:rsid w:val="00647307"/>
    <w:rsid w:val="00652380"/>
    <w:rsid w:val="00671AE1"/>
    <w:rsid w:val="0068099A"/>
    <w:rsid w:val="00683A49"/>
    <w:rsid w:val="00691BB0"/>
    <w:rsid w:val="006B3B5C"/>
    <w:rsid w:val="006C0B1B"/>
    <w:rsid w:val="007129EC"/>
    <w:rsid w:val="00721062"/>
    <w:rsid w:val="007217B2"/>
    <w:rsid w:val="007271D2"/>
    <w:rsid w:val="0073565A"/>
    <w:rsid w:val="007357AE"/>
    <w:rsid w:val="00767501"/>
    <w:rsid w:val="00782C7A"/>
    <w:rsid w:val="007833E2"/>
    <w:rsid w:val="00786ECC"/>
    <w:rsid w:val="007A2CEE"/>
    <w:rsid w:val="007E06FC"/>
    <w:rsid w:val="007F1304"/>
    <w:rsid w:val="007F44C2"/>
    <w:rsid w:val="008712AD"/>
    <w:rsid w:val="008A5685"/>
    <w:rsid w:val="008A6BC0"/>
    <w:rsid w:val="008B0AE5"/>
    <w:rsid w:val="008B5FBA"/>
    <w:rsid w:val="00945388"/>
    <w:rsid w:val="009625F3"/>
    <w:rsid w:val="00990ED9"/>
    <w:rsid w:val="00994341"/>
    <w:rsid w:val="009C0929"/>
    <w:rsid w:val="009F0EB8"/>
    <w:rsid w:val="00A17EA9"/>
    <w:rsid w:val="00A321A5"/>
    <w:rsid w:val="00A50085"/>
    <w:rsid w:val="00A66F07"/>
    <w:rsid w:val="00AD3812"/>
    <w:rsid w:val="00AD52A4"/>
    <w:rsid w:val="00AD7D6B"/>
    <w:rsid w:val="00AF237C"/>
    <w:rsid w:val="00AF3257"/>
    <w:rsid w:val="00B04548"/>
    <w:rsid w:val="00B363B9"/>
    <w:rsid w:val="00B40CA0"/>
    <w:rsid w:val="00B51C73"/>
    <w:rsid w:val="00B54B48"/>
    <w:rsid w:val="00B62DB2"/>
    <w:rsid w:val="00B82A7C"/>
    <w:rsid w:val="00B91F4A"/>
    <w:rsid w:val="00B92959"/>
    <w:rsid w:val="00BA3FDD"/>
    <w:rsid w:val="00BB320D"/>
    <w:rsid w:val="00C06551"/>
    <w:rsid w:val="00C2411C"/>
    <w:rsid w:val="00C42BE2"/>
    <w:rsid w:val="00C47FAD"/>
    <w:rsid w:val="00C5534C"/>
    <w:rsid w:val="00C919E0"/>
    <w:rsid w:val="00C9554E"/>
    <w:rsid w:val="00CA1940"/>
    <w:rsid w:val="00CB3316"/>
    <w:rsid w:val="00CD20C8"/>
    <w:rsid w:val="00CE2B96"/>
    <w:rsid w:val="00CF6363"/>
    <w:rsid w:val="00D03860"/>
    <w:rsid w:val="00D11236"/>
    <w:rsid w:val="00D11BBD"/>
    <w:rsid w:val="00D21516"/>
    <w:rsid w:val="00D271E7"/>
    <w:rsid w:val="00D52C1A"/>
    <w:rsid w:val="00D56F21"/>
    <w:rsid w:val="00DC6396"/>
    <w:rsid w:val="00DD4F3C"/>
    <w:rsid w:val="00E5791D"/>
    <w:rsid w:val="00E732D4"/>
    <w:rsid w:val="00E747AA"/>
    <w:rsid w:val="00E84E8D"/>
    <w:rsid w:val="00E92C4E"/>
    <w:rsid w:val="00E966E4"/>
    <w:rsid w:val="00E974D0"/>
    <w:rsid w:val="00EA22DE"/>
    <w:rsid w:val="00ED2B51"/>
    <w:rsid w:val="00EF1CAC"/>
    <w:rsid w:val="00EF37AE"/>
    <w:rsid w:val="00F20156"/>
    <w:rsid w:val="00F25763"/>
    <w:rsid w:val="00F46134"/>
    <w:rsid w:val="00F7479B"/>
    <w:rsid w:val="00F8443B"/>
    <w:rsid w:val="00F925E9"/>
    <w:rsid w:val="00FD6FCE"/>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4E9D4"/>
  <w15:docId w15:val="{2EAB143B-EF2A-4DBE-9EA1-4F47F9D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A17EA9"/>
    <w:pPr>
      <w:widowControl w:val="0"/>
      <w:spacing w:before="120"/>
      <w:ind w:left="660" w:right="512"/>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765C"/>
  </w:style>
  <w:style w:type="paragraph" w:styleId="Footer">
    <w:name w:val="footer"/>
    <w:basedOn w:val="Normal"/>
    <w:link w:val="FooterChar"/>
    <w:uiPriority w:val="99"/>
    <w:unhideWhenUsed/>
    <w:rsid w:val="006076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765C"/>
  </w:style>
  <w:style w:type="paragraph" w:styleId="BalloonText">
    <w:name w:val="Balloon Text"/>
    <w:basedOn w:val="Normal"/>
    <w:link w:val="BalloonTextChar"/>
    <w:uiPriority w:val="99"/>
    <w:semiHidden/>
    <w:unhideWhenUsed/>
    <w:rsid w:val="006076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765C"/>
    <w:rPr>
      <w:rFonts w:ascii="Tahoma" w:hAnsi="Tahoma" w:cs="Tahoma"/>
      <w:sz w:val="16"/>
      <w:szCs w:val="16"/>
    </w:rPr>
  </w:style>
  <w:style w:type="character" w:styleId="Hyperlink">
    <w:name w:val="Hyperlink"/>
    <w:basedOn w:val="DefaultParagraphFont"/>
    <w:rsid w:val="00BA3FDD"/>
    <w:rPr>
      <w:color w:val="0000FF"/>
      <w:u w:val="single"/>
    </w:rPr>
  </w:style>
  <w:style w:type="character" w:styleId="Strong">
    <w:name w:val="Strong"/>
    <w:basedOn w:val="DefaultParagraphFont"/>
    <w:uiPriority w:val="99"/>
    <w:qFormat/>
    <w:rsid w:val="00BA3FDD"/>
    <w:rPr>
      <w:b/>
      <w:bCs/>
    </w:rPr>
  </w:style>
  <w:style w:type="table" w:styleId="TableGrid">
    <w:name w:val="Table Grid"/>
    <w:basedOn w:val="TableNormal"/>
    <w:uiPriority w:val="59"/>
    <w:rsid w:val="00C9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622DA"/>
  </w:style>
  <w:style w:type="paragraph" w:styleId="BodyText">
    <w:name w:val="Body Text"/>
    <w:basedOn w:val="Normal"/>
    <w:link w:val="BodyTextChar"/>
    <w:uiPriority w:val="1"/>
    <w:qFormat/>
    <w:rsid w:val="00DD4F3C"/>
    <w:pPr>
      <w:widowControl w:val="0"/>
      <w:ind w:left="128"/>
    </w:pPr>
    <w:rPr>
      <w:rFonts w:ascii="Arial" w:eastAsia="Arial" w:hAnsi="Arial" w:cstheme="minorBidi"/>
      <w:sz w:val="23"/>
      <w:szCs w:val="23"/>
    </w:rPr>
  </w:style>
  <w:style w:type="character" w:customStyle="1" w:styleId="BodyTextChar">
    <w:name w:val="Body Text Char"/>
    <w:basedOn w:val="DefaultParagraphFont"/>
    <w:link w:val="BodyText"/>
    <w:uiPriority w:val="1"/>
    <w:rsid w:val="00DD4F3C"/>
    <w:rPr>
      <w:rFonts w:ascii="Arial" w:eastAsia="Arial" w:hAnsi="Arial"/>
      <w:sz w:val="23"/>
      <w:szCs w:val="23"/>
    </w:rPr>
  </w:style>
  <w:style w:type="paragraph" w:customStyle="1" w:styleId="Default">
    <w:name w:val="Default"/>
    <w:rsid w:val="004501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A17EA9"/>
    <w:pPr>
      <w:widowControl w:val="0"/>
    </w:pPr>
    <w:rPr>
      <w:rFonts w:ascii="Calibri" w:eastAsia="Calibri" w:hAnsi="Calibri" w:cs="Calibri"/>
      <w:sz w:val="22"/>
      <w:szCs w:val="22"/>
    </w:rPr>
  </w:style>
  <w:style w:type="character" w:customStyle="1" w:styleId="Heading2Char">
    <w:name w:val="Heading 2 Char"/>
    <w:basedOn w:val="DefaultParagraphFont"/>
    <w:link w:val="Heading2"/>
    <w:uiPriority w:val="1"/>
    <w:rsid w:val="00A17EA9"/>
    <w:rPr>
      <w:rFonts w:ascii="Calibri" w:eastAsia="Calibri" w:hAnsi="Calibri" w:cs="Calibri"/>
      <w:b/>
      <w:bCs/>
    </w:rPr>
  </w:style>
  <w:style w:type="paragraph" w:styleId="NormalWeb">
    <w:name w:val="Normal (Web)"/>
    <w:basedOn w:val="Normal"/>
    <w:uiPriority w:val="99"/>
    <w:semiHidden/>
    <w:unhideWhenUsed/>
    <w:rsid w:val="00133526"/>
    <w:pPr>
      <w:spacing w:before="100" w:beforeAutospacing="1" w:after="100" w:afterAutospacing="1"/>
    </w:pPr>
  </w:style>
  <w:style w:type="character" w:customStyle="1" w:styleId="apple-converted-space">
    <w:name w:val="apple-converted-space"/>
    <w:basedOn w:val="DefaultParagraphFont"/>
    <w:rsid w:val="00133526"/>
  </w:style>
  <w:style w:type="paragraph" w:styleId="ListParagraph">
    <w:name w:val="List Paragraph"/>
    <w:basedOn w:val="Normal"/>
    <w:uiPriority w:val="1"/>
    <w:qFormat/>
    <w:rsid w:val="00133526"/>
    <w:pPr>
      <w:ind w:left="720"/>
      <w:contextualSpacing/>
    </w:pPr>
  </w:style>
  <w:style w:type="character" w:customStyle="1" w:styleId="Heading1Char">
    <w:name w:val="Heading 1 Char"/>
    <w:basedOn w:val="DefaultParagraphFont"/>
    <w:link w:val="Heading1"/>
    <w:uiPriority w:val="9"/>
    <w:rsid w:val="007833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8420">
      <w:bodyDiv w:val="1"/>
      <w:marLeft w:val="0"/>
      <w:marRight w:val="0"/>
      <w:marTop w:val="0"/>
      <w:marBottom w:val="0"/>
      <w:divBdr>
        <w:top w:val="none" w:sz="0" w:space="0" w:color="auto"/>
        <w:left w:val="none" w:sz="0" w:space="0" w:color="auto"/>
        <w:bottom w:val="none" w:sz="0" w:space="0" w:color="auto"/>
        <w:right w:val="none" w:sz="0" w:space="0" w:color="auto"/>
      </w:divBdr>
      <w:divsChild>
        <w:div w:id="676346854">
          <w:marLeft w:val="0"/>
          <w:marRight w:val="0"/>
          <w:marTop w:val="0"/>
          <w:marBottom w:val="0"/>
          <w:divBdr>
            <w:top w:val="none" w:sz="0" w:space="0" w:color="auto"/>
            <w:left w:val="none" w:sz="0" w:space="0" w:color="auto"/>
            <w:bottom w:val="none" w:sz="0" w:space="0" w:color="auto"/>
            <w:right w:val="none" w:sz="0" w:space="0" w:color="auto"/>
          </w:divBdr>
          <w:divsChild>
            <w:div w:id="1812402752">
              <w:marLeft w:val="0"/>
              <w:marRight w:val="0"/>
              <w:marTop w:val="0"/>
              <w:marBottom w:val="0"/>
              <w:divBdr>
                <w:top w:val="none" w:sz="0" w:space="0" w:color="auto"/>
                <w:left w:val="none" w:sz="0" w:space="0" w:color="auto"/>
                <w:bottom w:val="none" w:sz="0" w:space="0" w:color="auto"/>
                <w:right w:val="none" w:sz="0" w:space="0" w:color="auto"/>
              </w:divBdr>
              <w:divsChild>
                <w:div w:id="1324429418">
                  <w:marLeft w:val="0"/>
                  <w:marRight w:val="0"/>
                  <w:marTop w:val="0"/>
                  <w:marBottom w:val="0"/>
                  <w:divBdr>
                    <w:top w:val="none" w:sz="0" w:space="0" w:color="auto"/>
                    <w:left w:val="none" w:sz="0" w:space="0" w:color="auto"/>
                    <w:bottom w:val="single" w:sz="6" w:space="15" w:color="CECECE"/>
                    <w:right w:val="none" w:sz="0" w:space="0" w:color="auto"/>
                  </w:divBdr>
                  <w:divsChild>
                    <w:div w:id="607272946">
                      <w:marLeft w:val="0"/>
                      <w:marRight w:val="0"/>
                      <w:marTop w:val="0"/>
                      <w:marBottom w:val="0"/>
                      <w:divBdr>
                        <w:top w:val="none" w:sz="0" w:space="0" w:color="auto"/>
                        <w:left w:val="none" w:sz="0" w:space="0" w:color="auto"/>
                        <w:bottom w:val="none" w:sz="0" w:space="0" w:color="auto"/>
                        <w:right w:val="none" w:sz="0" w:space="0" w:color="auto"/>
                      </w:divBdr>
                      <w:divsChild>
                        <w:div w:id="13748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21125">
      <w:bodyDiv w:val="1"/>
      <w:marLeft w:val="0"/>
      <w:marRight w:val="0"/>
      <w:marTop w:val="0"/>
      <w:marBottom w:val="0"/>
      <w:divBdr>
        <w:top w:val="none" w:sz="0" w:space="0" w:color="auto"/>
        <w:left w:val="none" w:sz="0" w:space="0" w:color="auto"/>
        <w:bottom w:val="none" w:sz="0" w:space="0" w:color="auto"/>
        <w:right w:val="none" w:sz="0" w:space="0" w:color="auto"/>
      </w:divBdr>
      <w:divsChild>
        <w:div w:id="101792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77186">
              <w:marLeft w:val="0"/>
              <w:marRight w:val="0"/>
              <w:marTop w:val="0"/>
              <w:marBottom w:val="0"/>
              <w:divBdr>
                <w:top w:val="none" w:sz="0" w:space="0" w:color="auto"/>
                <w:left w:val="none" w:sz="0" w:space="0" w:color="auto"/>
                <w:bottom w:val="none" w:sz="0" w:space="0" w:color="auto"/>
                <w:right w:val="none" w:sz="0" w:space="0" w:color="auto"/>
              </w:divBdr>
              <w:divsChild>
                <w:div w:id="1587229683">
                  <w:marLeft w:val="0"/>
                  <w:marRight w:val="0"/>
                  <w:marTop w:val="0"/>
                  <w:marBottom w:val="0"/>
                  <w:divBdr>
                    <w:top w:val="none" w:sz="0" w:space="0" w:color="auto"/>
                    <w:left w:val="none" w:sz="0" w:space="0" w:color="auto"/>
                    <w:bottom w:val="none" w:sz="0" w:space="0" w:color="auto"/>
                    <w:right w:val="none" w:sz="0" w:space="0" w:color="auto"/>
                  </w:divBdr>
                  <w:divsChild>
                    <w:div w:id="974599224">
                      <w:marLeft w:val="0"/>
                      <w:marRight w:val="0"/>
                      <w:marTop w:val="0"/>
                      <w:marBottom w:val="0"/>
                      <w:divBdr>
                        <w:top w:val="none" w:sz="0" w:space="0" w:color="auto"/>
                        <w:left w:val="none" w:sz="0" w:space="0" w:color="auto"/>
                        <w:bottom w:val="none" w:sz="0" w:space="0" w:color="auto"/>
                        <w:right w:val="none" w:sz="0" w:space="0" w:color="auto"/>
                      </w:divBdr>
                      <w:divsChild>
                        <w:div w:id="338778120">
                          <w:marLeft w:val="0"/>
                          <w:marRight w:val="0"/>
                          <w:marTop w:val="0"/>
                          <w:marBottom w:val="0"/>
                          <w:divBdr>
                            <w:top w:val="none" w:sz="0" w:space="0" w:color="auto"/>
                            <w:left w:val="none" w:sz="0" w:space="0" w:color="auto"/>
                            <w:bottom w:val="none" w:sz="0" w:space="0" w:color="auto"/>
                            <w:right w:val="none" w:sz="0" w:space="0" w:color="auto"/>
                          </w:divBdr>
                          <w:divsChild>
                            <w:div w:id="2887811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9626412">
                                  <w:marLeft w:val="0"/>
                                  <w:marRight w:val="0"/>
                                  <w:marTop w:val="0"/>
                                  <w:marBottom w:val="0"/>
                                  <w:divBdr>
                                    <w:top w:val="none" w:sz="0" w:space="0" w:color="auto"/>
                                    <w:left w:val="none" w:sz="0" w:space="0" w:color="auto"/>
                                    <w:bottom w:val="none" w:sz="0" w:space="0" w:color="auto"/>
                                    <w:right w:val="none" w:sz="0" w:space="0" w:color="auto"/>
                                  </w:divBdr>
                                  <w:divsChild>
                                    <w:div w:id="4529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159618">
      <w:bodyDiv w:val="1"/>
      <w:marLeft w:val="0"/>
      <w:marRight w:val="0"/>
      <w:marTop w:val="0"/>
      <w:marBottom w:val="0"/>
      <w:divBdr>
        <w:top w:val="none" w:sz="0" w:space="0" w:color="auto"/>
        <w:left w:val="none" w:sz="0" w:space="0" w:color="auto"/>
        <w:bottom w:val="none" w:sz="0" w:space="0" w:color="auto"/>
        <w:right w:val="none" w:sz="0" w:space="0" w:color="auto"/>
      </w:divBdr>
    </w:div>
    <w:div w:id="2065257478">
      <w:bodyDiv w:val="1"/>
      <w:marLeft w:val="0"/>
      <w:marRight w:val="0"/>
      <w:marTop w:val="0"/>
      <w:marBottom w:val="0"/>
      <w:divBdr>
        <w:top w:val="none" w:sz="0" w:space="0" w:color="auto"/>
        <w:left w:val="none" w:sz="0" w:space="0" w:color="auto"/>
        <w:bottom w:val="none" w:sz="0" w:space="0" w:color="auto"/>
        <w:right w:val="none" w:sz="0" w:space="0" w:color="auto"/>
      </w:divBdr>
      <w:divsChild>
        <w:div w:id="826820278">
          <w:marLeft w:val="0"/>
          <w:marRight w:val="0"/>
          <w:marTop w:val="0"/>
          <w:marBottom w:val="0"/>
          <w:divBdr>
            <w:top w:val="none" w:sz="0" w:space="0" w:color="auto"/>
            <w:left w:val="none" w:sz="0" w:space="0" w:color="auto"/>
            <w:bottom w:val="none" w:sz="0" w:space="0" w:color="auto"/>
            <w:right w:val="none" w:sz="0" w:space="0" w:color="auto"/>
          </w:divBdr>
          <w:divsChild>
            <w:div w:id="1063256646">
              <w:marLeft w:val="0"/>
              <w:marRight w:val="0"/>
              <w:marTop w:val="0"/>
              <w:marBottom w:val="0"/>
              <w:divBdr>
                <w:top w:val="none" w:sz="0" w:space="0" w:color="auto"/>
                <w:left w:val="none" w:sz="0" w:space="0" w:color="auto"/>
                <w:bottom w:val="none" w:sz="0" w:space="0" w:color="auto"/>
                <w:right w:val="none" w:sz="0" w:space="0" w:color="auto"/>
              </w:divBdr>
              <w:divsChild>
                <w:div w:id="1473908932">
                  <w:marLeft w:val="0"/>
                  <w:marRight w:val="0"/>
                  <w:marTop w:val="0"/>
                  <w:marBottom w:val="0"/>
                  <w:divBdr>
                    <w:top w:val="none" w:sz="0" w:space="0" w:color="auto"/>
                    <w:left w:val="none" w:sz="0" w:space="0" w:color="auto"/>
                    <w:bottom w:val="none" w:sz="0" w:space="0" w:color="auto"/>
                    <w:right w:val="none" w:sz="0" w:space="0" w:color="auto"/>
                  </w:divBdr>
                  <w:divsChild>
                    <w:div w:id="1111244323">
                      <w:marLeft w:val="0"/>
                      <w:marRight w:val="0"/>
                      <w:marTop w:val="0"/>
                      <w:marBottom w:val="0"/>
                      <w:divBdr>
                        <w:top w:val="none" w:sz="0" w:space="0" w:color="auto"/>
                        <w:left w:val="none" w:sz="0" w:space="0" w:color="auto"/>
                        <w:bottom w:val="none" w:sz="0" w:space="0" w:color="auto"/>
                        <w:right w:val="none" w:sz="0" w:space="0" w:color="auto"/>
                      </w:divBdr>
                      <w:divsChild>
                        <w:div w:id="369767266">
                          <w:marLeft w:val="0"/>
                          <w:marRight w:val="0"/>
                          <w:marTop w:val="0"/>
                          <w:marBottom w:val="0"/>
                          <w:divBdr>
                            <w:top w:val="none" w:sz="0" w:space="0" w:color="auto"/>
                            <w:left w:val="none" w:sz="0" w:space="0" w:color="auto"/>
                            <w:bottom w:val="none" w:sz="0" w:space="0" w:color="auto"/>
                            <w:right w:val="none" w:sz="0" w:space="0" w:color="auto"/>
                          </w:divBdr>
                          <w:divsChild>
                            <w:div w:id="10698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49985">
          <w:marLeft w:val="0"/>
          <w:marRight w:val="0"/>
          <w:marTop w:val="0"/>
          <w:marBottom w:val="0"/>
          <w:divBdr>
            <w:top w:val="none" w:sz="0" w:space="0" w:color="auto"/>
            <w:left w:val="none" w:sz="0" w:space="0" w:color="auto"/>
            <w:bottom w:val="none" w:sz="0" w:space="0" w:color="auto"/>
            <w:right w:val="none" w:sz="0" w:space="0" w:color="auto"/>
          </w:divBdr>
          <w:divsChild>
            <w:div w:id="1583830831">
              <w:marLeft w:val="0"/>
              <w:marRight w:val="0"/>
              <w:marTop w:val="100"/>
              <w:marBottom w:val="100"/>
              <w:divBdr>
                <w:top w:val="none" w:sz="0" w:space="0" w:color="auto"/>
                <w:left w:val="none" w:sz="0" w:space="0" w:color="auto"/>
                <w:bottom w:val="none" w:sz="0" w:space="0" w:color="auto"/>
                <w:right w:val="none" w:sz="0" w:space="0" w:color="auto"/>
              </w:divBdr>
              <w:divsChild>
                <w:div w:id="595214833">
                  <w:marLeft w:val="0"/>
                  <w:marRight w:val="0"/>
                  <w:marTop w:val="0"/>
                  <w:marBottom w:val="0"/>
                  <w:divBdr>
                    <w:top w:val="none" w:sz="0" w:space="0" w:color="auto"/>
                    <w:left w:val="none" w:sz="0" w:space="0" w:color="auto"/>
                    <w:bottom w:val="none" w:sz="0" w:space="0" w:color="auto"/>
                    <w:right w:val="none" w:sz="0" w:space="0" w:color="auto"/>
                  </w:divBdr>
                  <w:divsChild>
                    <w:div w:id="1818642965">
                      <w:marLeft w:val="0"/>
                      <w:marRight w:val="0"/>
                      <w:marTop w:val="0"/>
                      <w:marBottom w:val="0"/>
                      <w:divBdr>
                        <w:top w:val="none" w:sz="0" w:space="0" w:color="auto"/>
                        <w:left w:val="none" w:sz="0" w:space="0" w:color="auto"/>
                        <w:bottom w:val="none" w:sz="0" w:space="0" w:color="auto"/>
                        <w:right w:val="none" w:sz="0" w:space="0" w:color="auto"/>
                      </w:divBdr>
                      <w:divsChild>
                        <w:div w:id="1662393469">
                          <w:marLeft w:val="0"/>
                          <w:marRight w:val="0"/>
                          <w:marTop w:val="0"/>
                          <w:marBottom w:val="0"/>
                          <w:divBdr>
                            <w:top w:val="none" w:sz="0" w:space="0" w:color="auto"/>
                            <w:left w:val="none" w:sz="0" w:space="0" w:color="auto"/>
                            <w:bottom w:val="none" w:sz="0" w:space="0" w:color="auto"/>
                            <w:right w:val="none" w:sz="0" w:space="0" w:color="auto"/>
                          </w:divBdr>
                          <w:divsChild>
                            <w:div w:id="14578118">
                              <w:marLeft w:val="0"/>
                              <w:marRight w:val="0"/>
                              <w:marTop w:val="0"/>
                              <w:marBottom w:val="0"/>
                              <w:divBdr>
                                <w:top w:val="none" w:sz="0" w:space="0" w:color="auto"/>
                                <w:left w:val="none" w:sz="0" w:space="0" w:color="auto"/>
                                <w:bottom w:val="none" w:sz="0" w:space="0" w:color="auto"/>
                                <w:right w:val="none" w:sz="0" w:space="0" w:color="auto"/>
                              </w:divBdr>
                              <w:divsChild>
                                <w:div w:id="1708723621">
                                  <w:marLeft w:val="0"/>
                                  <w:marRight w:val="0"/>
                                  <w:marTop w:val="0"/>
                                  <w:marBottom w:val="0"/>
                                  <w:divBdr>
                                    <w:top w:val="none" w:sz="0" w:space="0" w:color="auto"/>
                                    <w:left w:val="none" w:sz="0" w:space="0" w:color="auto"/>
                                    <w:bottom w:val="none" w:sz="0" w:space="0" w:color="auto"/>
                                    <w:right w:val="none" w:sz="0" w:space="0" w:color="auto"/>
                                  </w:divBdr>
                                  <w:divsChild>
                                    <w:div w:id="1101678766">
                                      <w:marLeft w:val="0"/>
                                      <w:marRight w:val="0"/>
                                      <w:marTop w:val="0"/>
                                      <w:marBottom w:val="0"/>
                                      <w:divBdr>
                                        <w:top w:val="none" w:sz="0" w:space="0" w:color="auto"/>
                                        <w:left w:val="none" w:sz="0" w:space="0" w:color="auto"/>
                                        <w:bottom w:val="none" w:sz="0" w:space="0" w:color="auto"/>
                                        <w:right w:val="none" w:sz="0" w:space="0" w:color="auto"/>
                                      </w:divBdr>
                                      <w:divsChild>
                                        <w:div w:id="380978569">
                                          <w:marLeft w:val="0"/>
                                          <w:marRight w:val="0"/>
                                          <w:marTop w:val="0"/>
                                          <w:marBottom w:val="0"/>
                                          <w:divBdr>
                                            <w:top w:val="none" w:sz="0" w:space="0" w:color="auto"/>
                                            <w:left w:val="none" w:sz="0" w:space="0" w:color="auto"/>
                                            <w:bottom w:val="none" w:sz="0" w:space="0" w:color="auto"/>
                                            <w:right w:val="none" w:sz="0" w:space="0" w:color="auto"/>
                                          </w:divBdr>
                                          <w:divsChild>
                                            <w:div w:id="1199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510F68-B0B7-4684-9A0A-95F1B070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DeeEtte Naukana</dc:creator>
  <cp:lastModifiedBy>Tammy Lara</cp:lastModifiedBy>
  <cp:revision>2</cp:revision>
  <cp:lastPrinted>2018-03-15T13:32:00Z</cp:lastPrinted>
  <dcterms:created xsi:type="dcterms:W3CDTF">2020-07-23T16:53:00Z</dcterms:created>
  <dcterms:modified xsi:type="dcterms:W3CDTF">2020-07-23T16:53:00Z</dcterms:modified>
</cp:coreProperties>
</file>